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7813" w:rsidR="001D0D77" w:rsidP="0040069E" w:rsidRDefault="001D0D77" w14:paraId="29212933" w14:textId="77777777">
      <w:pPr>
        <w:pStyle w:val="Heading1"/>
      </w:pPr>
    </w:p>
    <w:p w:rsidRPr="00127813" w:rsidR="001D0D77" w:rsidP="0040069E" w:rsidRDefault="001D0D77" w14:paraId="78364684" w14:textId="77777777">
      <w:pPr>
        <w:pStyle w:val="Heading1"/>
      </w:pPr>
    </w:p>
    <w:p w:rsidRPr="00127813" w:rsidR="001D0D77" w:rsidP="009947D2" w:rsidRDefault="001D0D77" w14:paraId="553C309C" w14:textId="77777777">
      <w:pPr>
        <w:jc w:val="center"/>
      </w:pPr>
      <w:r>
        <w:rPr>
          <w:noProof/>
        </w:rPr>
        <w:drawing>
          <wp:inline distT="0" distB="0" distL="0" distR="0" wp14:anchorId="475CB5B8" wp14:editId="314840D2">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838450" cy="2295525"/>
                    </a:xfrm>
                    <a:prstGeom prst="rect">
                      <a:avLst/>
                    </a:prstGeom>
                  </pic:spPr>
                </pic:pic>
              </a:graphicData>
            </a:graphic>
          </wp:inline>
        </w:drawing>
      </w:r>
    </w:p>
    <w:p w:rsidRPr="00127813" w:rsidR="001D0D77" w:rsidP="009947D2" w:rsidRDefault="001D0D77" w14:paraId="0121B7DA" w14:textId="77777777">
      <w:pPr>
        <w:pStyle w:val="Heading1"/>
        <w:jc w:val="center"/>
      </w:pPr>
    </w:p>
    <w:p w:rsidRPr="00127813" w:rsidR="001D0D77" w:rsidP="009947D2" w:rsidRDefault="001D0D77" w14:paraId="0596DE3F" w14:textId="77777777">
      <w:pPr>
        <w:pStyle w:val="Heading1"/>
        <w:jc w:val="center"/>
        <w:rPr>
          <w:lang w:eastAsia="en-GB"/>
        </w:rPr>
      </w:pPr>
    </w:p>
    <w:p w:rsidRPr="009947D2" w:rsidR="001D0D77" w:rsidP="009947D2" w:rsidRDefault="00004924" w14:paraId="07D8C546" w14:textId="77777777">
      <w:pPr>
        <w:jc w:val="center"/>
        <w:rPr>
          <w:b/>
          <w:sz w:val="28"/>
          <w:u w:val="single"/>
        </w:rPr>
      </w:pPr>
      <w:r>
        <w:rPr>
          <w:b/>
          <w:sz w:val="28"/>
          <w:lang w:eastAsia="en-GB"/>
        </w:rPr>
        <w:t>FLEXIBLE WORKING</w:t>
      </w:r>
      <w:r w:rsidRPr="009947D2" w:rsidR="0040069E">
        <w:rPr>
          <w:b/>
          <w:sz w:val="28"/>
          <w:lang w:eastAsia="en-GB"/>
        </w:rPr>
        <w:t xml:space="preserve"> POLICY</w:t>
      </w:r>
    </w:p>
    <w:p w:rsidRPr="00127813" w:rsidR="001D0D77" w:rsidP="0040069E" w:rsidRDefault="001D0D77" w14:paraId="0A162B3C" w14:textId="77777777">
      <w:pPr>
        <w:pStyle w:val="BodyText"/>
      </w:pPr>
    </w:p>
    <w:tbl>
      <w:tblPr>
        <w:tblW w:w="8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8"/>
        <w:gridCol w:w="1860"/>
        <w:gridCol w:w="4567"/>
      </w:tblGrid>
      <w:tr w:rsidRPr="00127813" w:rsidR="008B62A9" w:rsidTr="1337C37D" w14:paraId="07213236" w14:textId="77777777">
        <w:tc>
          <w:tcPr>
            <w:tcW w:w="1778" w:type="dxa"/>
            <w:tcMar/>
          </w:tcPr>
          <w:p w:rsidRPr="00127813" w:rsidR="008B62A9" w:rsidP="0040069E" w:rsidRDefault="008B62A9" w14:paraId="0F8548A2" w14:textId="77777777">
            <w:pPr>
              <w:pStyle w:val="BodyText"/>
            </w:pPr>
            <w:r w:rsidRPr="00127813">
              <w:t xml:space="preserve">Rev </w:t>
            </w:r>
          </w:p>
        </w:tc>
        <w:tc>
          <w:tcPr>
            <w:tcW w:w="1860" w:type="dxa"/>
            <w:tcMar/>
          </w:tcPr>
          <w:p w:rsidRPr="00127813" w:rsidR="008B62A9" w:rsidP="0040069E" w:rsidRDefault="008B62A9" w14:paraId="07402C4C" w14:textId="77777777">
            <w:pPr>
              <w:pStyle w:val="BodyText"/>
            </w:pPr>
            <w:r w:rsidRPr="00127813">
              <w:t>Date</w:t>
            </w:r>
          </w:p>
        </w:tc>
        <w:tc>
          <w:tcPr>
            <w:tcW w:w="4567" w:type="dxa"/>
            <w:tcMar/>
          </w:tcPr>
          <w:p w:rsidRPr="00127813" w:rsidR="008B62A9" w:rsidP="0040069E" w:rsidRDefault="008B62A9" w14:paraId="43F010FD" w14:textId="77777777">
            <w:pPr>
              <w:pStyle w:val="BodyText"/>
            </w:pPr>
            <w:r w:rsidRPr="00127813">
              <w:t xml:space="preserve">Purpose of Issue/Description of Change  </w:t>
            </w:r>
          </w:p>
        </w:tc>
      </w:tr>
      <w:tr w:rsidRPr="00127813" w:rsidR="008B62A9" w:rsidTr="1337C37D" w14:paraId="6472559A" w14:textId="77777777">
        <w:tc>
          <w:tcPr>
            <w:tcW w:w="1778" w:type="dxa"/>
            <w:tcMar/>
          </w:tcPr>
          <w:p w:rsidRPr="00127813" w:rsidR="008B62A9" w:rsidP="0040069E" w:rsidRDefault="008B62A9" w14:paraId="1F90056E" w14:textId="190EE8A5">
            <w:pPr>
              <w:pStyle w:val="BodyText"/>
            </w:pPr>
            <w:r>
              <w:t>1</w:t>
            </w:r>
          </w:p>
        </w:tc>
        <w:tc>
          <w:tcPr>
            <w:tcW w:w="1860" w:type="dxa"/>
            <w:tcMar/>
          </w:tcPr>
          <w:p w:rsidRPr="00127813" w:rsidR="008B62A9" w:rsidP="0040069E" w:rsidRDefault="008B62A9" w14:paraId="732D0F32" w14:textId="7A00CEB4">
            <w:pPr>
              <w:pStyle w:val="BodyText"/>
            </w:pPr>
            <w:r w:rsidRPr="00127813">
              <w:t>2014</w:t>
            </w:r>
          </w:p>
        </w:tc>
        <w:tc>
          <w:tcPr>
            <w:tcW w:w="4567" w:type="dxa"/>
            <w:tcMar/>
          </w:tcPr>
          <w:p w:rsidRPr="00127813" w:rsidR="008B62A9" w:rsidP="0040069E" w:rsidRDefault="008B62A9" w14:paraId="22ACE0E2" w14:textId="0C06C8A1">
            <w:pPr>
              <w:pStyle w:val="BodyText"/>
            </w:pPr>
            <w:r w:rsidRPr="00127813">
              <w:t>Cosmetic changes</w:t>
            </w:r>
          </w:p>
        </w:tc>
      </w:tr>
      <w:tr w:rsidRPr="00127813" w:rsidR="008B62A9" w:rsidTr="1337C37D" w14:paraId="47382CB1" w14:textId="77777777">
        <w:tc>
          <w:tcPr>
            <w:tcW w:w="1778" w:type="dxa"/>
            <w:tcMar/>
          </w:tcPr>
          <w:p w:rsidRPr="00127813" w:rsidR="008B62A9" w:rsidP="0040069E" w:rsidRDefault="008B62A9" w14:paraId="114ADFB9" w14:textId="4D9767C1">
            <w:pPr>
              <w:pStyle w:val="BodyText"/>
            </w:pPr>
            <w:r>
              <w:t>2</w:t>
            </w:r>
          </w:p>
        </w:tc>
        <w:tc>
          <w:tcPr>
            <w:tcW w:w="1860" w:type="dxa"/>
            <w:tcMar/>
          </w:tcPr>
          <w:p w:rsidRPr="00127813" w:rsidR="008B62A9" w:rsidP="0040069E" w:rsidRDefault="008B62A9" w14:paraId="00756978" w14:textId="3BFC25F2">
            <w:pPr>
              <w:pStyle w:val="BodyText"/>
            </w:pPr>
            <w:r w:rsidRPr="00127813">
              <w:t>2015</w:t>
            </w:r>
          </w:p>
        </w:tc>
        <w:tc>
          <w:tcPr>
            <w:tcW w:w="4567" w:type="dxa"/>
            <w:tcMar/>
          </w:tcPr>
          <w:p w:rsidRPr="00127813" w:rsidR="008B62A9" w:rsidP="0040069E" w:rsidRDefault="008B62A9" w14:paraId="335BC8FB" w14:textId="53487A12">
            <w:pPr>
              <w:pStyle w:val="BodyText"/>
            </w:pPr>
            <w:r w:rsidRPr="00127813">
              <w:t>Update for clarity</w:t>
            </w:r>
          </w:p>
        </w:tc>
      </w:tr>
      <w:tr w:rsidRPr="00127813" w:rsidR="008B62A9" w:rsidTr="1337C37D" w14:paraId="597BB216" w14:textId="77777777">
        <w:tc>
          <w:tcPr>
            <w:tcW w:w="1778" w:type="dxa"/>
            <w:tcMar/>
          </w:tcPr>
          <w:p w:rsidRPr="00127813" w:rsidR="008B62A9" w:rsidP="0040069E" w:rsidRDefault="008B62A9" w14:paraId="51174E21" w14:textId="3BB72D96">
            <w:pPr>
              <w:pStyle w:val="BodyText"/>
            </w:pPr>
            <w:r>
              <w:t>3</w:t>
            </w:r>
          </w:p>
        </w:tc>
        <w:tc>
          <w:tcPr>
            <w:tcW w:w="1860" w:type="dxa"/>
            <w:tcMar/>
          </w:tcPr>
          <w:p w:rsidRPr="00127813" w:rsidR="008B62A9" w:rsidP="0040069E" w:rsidRDefault="008B62A9" w14:paraId="061D1AF0" w14:textId="05CB9E9E">
            <w:pPr>
              <w:pStyle w:val="BodyText"/>
            </w:pPr>
            <w:r w:rsidRPr="00127813">
              <w:t>2016</w:t>
            </w:r>
          </w:p>
        </w:tc>
        <w:tc>
          <w:tcPr>
            <w:tcW w:w="4567" w:type="dxa"/>
            <w:tcMar/>
          </w:tcPr>
          <w:p w:rsidRPr="00127813" w:rsidR="008B62A9" w:rsidP="0040069E" w:rsidRDefault="008B62A9" w14:paraId="259F1F96" w14:textId="6F90C333">
            <w:pPr>
              <w:pStyle w:val="BodyText"/>
            </w:pPr>
            <w:r w:rsidRPr="00127813">
              <w:t>Cosmetic changes</w:t>
            </w:r>
          </w:p>
        </w:tc>
      </w:tr>
      <w:tr w:rsidRPr="00127813" w:rsidR="008B62A9" w:rsidTr="1337C37D" w14:paraId="64C62922" w14:textId="77777777">
        <w:tc>
          <w:tcPr>
            <w:tcW w:w="1778" w:type="dxa"/>
            <w:tcMar/>
          </w:tcPr>
          <w:p w:rsidRPr="00127813" w:rsidR="008B62A9" w:rsidP="0040069E" w:rsidRDefault="008B62A9" w14:paraId="796BD2D3" w14:textId="6475C9F3">
            <w:pPr>
              <w:pStyle w:val="BodyText"/>
            </w:pPr>
            <w:r>
              <w:t>4</w:t>
            </w:r>
          </w:p>
        </w:tc>
        <w:tc>
          <w:tcPr>
            <w:tcW w:w="1860" w:type="dxa"/>
            <w:tcMar/>
          </w:tcPr>
          <w:p w:rsidRPr="00127813" w:rsidR="008B62A9" w:rsidP="0040069E" w:rsidRDefault="008B62A9" w14:paraId="3883EAE1" w14:textId="7C948411">
            <w:pPr>
              <w:pStyle w:val="BodyText"/>
            </w:pPr>
            <w:r w:rsidRPr="00127813">
              <w:t>2018</w:t>
            </w:r>
          </w:p>
        </w:tc>
        <w:tc>
          <w:tcPr>
            <w:tcW w:w="4567" w:type="dxa"/>
            <w:tcMar/>
          </w:tcPr>
          <w:p w:rsidRPr="00127813" w:rsidR="008B62A9" w:rsidP="0040069E" w:rsidRDefault="008B62A9" w14:paraId="37D687E4" w14:textId="319E6F4B">
            <w:pPr>
              <w:pStyle w:val="BodyText"/>
            </w:pPr>
            <w:r>
              <w:t>Review – no changes</w:t>
            </w:r>
          </w:p>
        </w:tc>
      </w:tr>
      <w:tr w:rsidRPr="00127813" w:rsidR="008B62A9" w:rsidTr="1337C37D" w14:paraId="6687948A" w14:textId="77777777">
        <w:tc>
          <w:tcPr>
            <w:tcW w:w="1778" w:type="dxa"/>
            <w:tcMar/>
          </w:tcPr>
          <w:p w:rsidRPr="00127813" w:rsidR="008B62A9" w:rsidP="0040069E" w:rsidRDefault="008B62A9" w14:paraId="2124DDDD" w14:textId="15D15EB3">
            <w:pPr>
              <w:pStyle w:val="BodyText"/>
            </w:pPr>
            <w:r>
              <w:t>5</w:t>
            </w:r>
          </w:p>
        </w:tc>
        <w:tc>
          <w:tcPr>
            <w:tcW w:w="1860" w:type="dxa"/>
            <w:tcMar/>
          </w:tcPr>
          <w:p w:rsidRPr="00127813" w:rsidR="008B62A9" w:rsidP="0040069E" w:rsidRDefault="008B62A9" w14:paraId="1E6018F7" w14:textId="498B9CAD">
            <w:pPr>
              <w:pStyle w:val="BodyText"/>
            </w:pPr>
            <w:r>
              <w:t>2021</w:t>
            </w:r>
          </w:p>
        </w:tc>
        <w:tc>
          <w:tcPr>
            <w:tcW w:w="4567" w:type="dxa"/>
            <w:tcMar/>
          </w:tcPr>
          <w:p w:rsidRPr="00127813" w:rsidR="008B62A9" w:rsidP="0040069E" w:rsidRDefault="008B62A9" w14:paraId="67AA7F9D" w14:textId="6C0C16E5">
            <w:pPr>
              <w:pStyle w:val="BodyText"/>
            </w:pPr>
            <w:r>
              <w:t>Amendments to sections 5, 6 and 7 for clarity. Removal of 26 weeks service requirement.</w:t>
            </w:r>
          </w:p>
        </w:tc>
      </w:tr>
      <w:tr w:rsidRPr="00127813" w:rsidR="008B62A9" w:rsidTr="1337C37D" w14:paraId="4C372966" w14:textId="77777777">
        <w:tc>
          <w:tcPr>
            <w:tcW w:w="1778" w:type="dxa"/>
            <w:tcMar/>
          </w:tcPr>
          <w:p w:rsidR="008B62A9" w:rsidP="0040069E" w:rsidRDefault="008B62A9" w14:paraId="1DFA7DD1" w14:textId="6FF99D9A">
            <w:pPr>
              <w:pStyle w:val="BodyText"/>
            </w:pPr>
            <w:r>
              <w:t>6</w:t>
            </w:r>
          </w:p>
        </w:tc>
        <w:tc>
          <w:tcPr>
            <w:tcW w:w="1860" w:type="dxa"/>
            <w:tcMar/>
          </w:tcPr>
          <w:p w:rsidR="008B62A9" w:rsidP="0040069E" w:rsidRDefault="008B62A9" w14:paraId="2DB97380" w14:textId="61489B8B">
            <w:pPr>
              <w:pStyle w:val="BodyText"/>
            </w:pPr>
            <w:r>
              <w:t>2023</w:t>
            </w:r>
          </w:p>
        </w:tc>
        <w:tc>
          <w:tcPr>
            <w:tcW w:w="4567" w:type="dxa"/>
            <w:tcMar/>
          </w:tcPr>
          <w:p w:rsidR="008B62A9" w:rsidP="0040069E" w:rsidRDefault="008B62A9" w14:paraId="3E90AE4C" w14:textId="1FD944CE">
            <w:pPr>
              <w:pStyle w:val="BodyText"/>
            </w:pPr>
            <w:r w:rsidRPr="00C95344">
              <w:t>Cosmetic changes and clarity to wording that does not affect content </w:t>
            </w:r>
            <w:r>
              <w:rPr>
                <w:rStyle w:val="eop"/>
                <w:color w:val="D13438"/>
                <w:shd w:val="clear" w:color="auto" w:fill="FFFFFF"/>
              </w:rPr>
              <w:t> </w:t>
            </w:r>
          </w:p>
        </w:tc>
      </w:tr>
      <w:tr w:rsidRPr="00127813" w:rsidR="008B62A9" w:rsidTr="1337C37D" w14:paraId="1DB549A4" w14:textId="77777777">
        <w:tc>
          <w:tcPr>
            <w:tcW w:w="1778" w:type="dxa"/>
            <w:tcMar/>
          </w:tcPr>
          <w:p w:rsidRPr="00127813" w:rsidR="008B62A9" w:rsidP="1337C37D" w:rsidRDefault="008B62A9" w14:paraId="7A5A6C0A" w14:textId="375F3C2A">
            <w:pPr>
              <w:pStyle w:val="BodyText"/>
              <w:rPr>
                <w:b w:val="1"/>
                <w:bCs w:val="1"/>
              </w:rPr>
            </w:pPr>
            <w:r w:rsidRPr="1337C37D" w:rsidR="008B62A9">
              <w:rPr>
                <w:b w:val="1"/>
                <w:bCs w:val="1"/>
              </w:rPr>
              <w:t xml:space="preserve">Policy </w:t>
            </w:r>
            <w:r w:rsidRPr="1337C37D" w:rsidR="7D037E41">
              <w:rPr>
                <w:b w:val="1"/>
                <w:bCs w:val="1"/>
              </w:rPr>
              <w:t>O</w:t>
            </w:r>
            <w:r w:rsidRPr="1337C37D" w:rsidR="008B62A9">
              <w:rPr>
                <w:b w:val="1"/>
                <w:bCs w:val="1"/>
              </w:rPr>
              <w:t>fficer</w:t>
            </w:r>
          </w:p>
        </w:tc>
        <w:tc>
          <w:tcPr>
            <w:tcW w:w="1860" w:type="dxa"/>
            <w:tcMar/>
          </w:tcPr>
          <w:p w:rsidRPr="00127813" w:rsidR="008B62A9" w:rsidP="1337C37D" w:rsidRDefault="008B62A9" w14:paraId="79EFA9C6" w14:textId="0B320DCF">
            <w:pPr>
              <w:pStyle w:val="BodyText"/>
              <w:rPr>
                <w:b w:val="1"/>
                <w:bCs w:val="1"/>
              </w:rPr>
            </w:pPr>
            <w:r w:rsidRPr="1337C37D" w:rsidR="008B62A9">
              <w:rPr>
                <w:b w:val="1"/>
                <w:bCs w:val="1"/>
              </w:rPr>
              <w:t>Senior Responsible Officer</w:t>
            </w:r>
          </w:p>
        </w:tc>
        <w:tc>
          <w:tcPr>
            <w:tcW w:w="4567" w:type="dxa"/>
            <w:tcMar/>
          </w:tcPr>
          <w:p w:rsidRPr="00127813" w:rsidR="008B62A9" w:rsidP="1337C37D" w:rsidRDefault="008B62A9" w14:paraId="7A5111BA" w14:textId="6AEFAC7B">
            <w:pPr>
              <w:pStyle w:val="BodyText"/>
              <w:rPr>
                <w:b w:val="1"/>
                <w:bCs w:val="1"/>
              </w:rPr>
            </w:pPr>
            <w:r w:rsidRPr="1337C37D" w:rsidR="008B62A9">
              <w:rPr>
                <w:b w:val="1"/>
                <w:bCs w:val="1"/>
              </w:rPr>
              <w:t xml:space="preserve">Approved By </w:t>
            </w:r>
            <w:r>
              <w:br/>
            </w:r>
            <w:r w:rsidRPr="1337C37D" w:rsidR="008B62A9">
              <w:rPr>
                <w:b w:val="1"/>
                <w:bCs w:val="1"/>
              </w:rPr>
              <w:t>and Date</w:t>
            </w:r>
          </w:p>
        </w:tc>
      </w:tr>
      <w:tr w:rsidRPr="00127813" w:rsidR="008B62A9" w:rsidTr="1337C37D" w14:paraId="05D87DA5" w14:textId="77777777">
        <w:tc>
          <w:tcPr>
            <w:tcW w:w="1778" w:type="dxa"/>
            <w:tcMar/>
          </w:tcPr>
          <w:p w:rsidRPr="00127813" w:rsidR="008B62A9" w:rsidP="0040069E" w:rsidRDefault="008B62A9" w14:paraId="4ED6ECA6" w14:textId="537C4B6E">
            <w:pPr>
              <w:pStyle w:val="BodyText"/>
            </w:pPr>
            <w:r w:rsidR="008B62A9">
              <w:rPr/>
              <w:t xml:space="preserve">Catherine </w:t>
            </w:r>
            <w:r w:rsidR="505759E1">
              <w:rPr/>
              <w:t>Jon</w:t>
            </w:r>
            <w:r w:rsidR="008B62A9">
              <w:rPr/>
              <w:t>es</w:t>
            </w:r>
          </w:p>
        </w:tc>
        <w:tc>
          <w:tcPr>
            <w:tcW w:w="1860" w:type="dxa"/>
            <w:tcMar/>
          </w:tcPr>
          <w:p w:rsidRPr="00127813" w:rsidR="008B62A9" w:rsidP="0040069E" w:rsidRDefault="008B62A9" w14:paraId="4E94C749" w14:textId="0CE0355B">
            <w:pPr>
              <w:pStyle w:val="BodyText"/>
            </w:pPr>
            <w:r w:rsidR="008B62A9">
              <w:rPr/>
              <w:t>Steffan Griffith</w:t>
            </w:r>
          </w:p>
          <w:p w:rsidRPr="00127813" w:rsidR="008B62A9" w:rsidP="0040069E" w:rsidRDefault="008B62A9" w14:paraId="26416E81" w14:textId="6F50F0D8">
            <w:pPr>
              <w:pStyle w:val="BodyText"/>
            </w:pPr>
          </w:p>
        </w:tc>
        <w:tc>
          <w:tcPr>
            <w:tcW w:w="4567" w:type="dxa"/>
            <w:tcMar/>
          </w:tcPr>
          <w:p w:rsidRPr="00127813" w:rsidR="008B62A9" w:rsidP="0040069E" w:rsidRDefault="008B62A9" w14:paraId="3739084E" w14:textId="4BC8D56B">
            <w:pPr>
              <w:pStyle w:val="BodyText"/>
            </w:pPr>
            <w:r w:rsidR="6AB96775">
              <w:rPr/>
              <w:t xml:space="preserve">Compliance Committee </w:t>
            </w:r>
            <w:r w:rsidR="008B62A9">
              <w:rPr/>
              <w:t>21/04/2021</w:t>
            </w:r>
          </w:p>
        </w:tc>
      </w:tr>
    </w:tbl>
    <w:p w:rsidRPr="00127813" w:rsidR="00687AA4" w:rsidP="0040069E" w:rsidRDefault="00687AA4" w14:paraId="6DE59C2B" w14:textId="77777777"/>
    <w:p w:rsidR="1337C37D" w:rsidRDefault="1337C37D" w14:paraId="6381CDEB" w14:textId="3DECA53D"/>
    <w:p w:rsidR="1337C37D" w:rsidRDefault="1337C37D" w14:paraId="6BC1FE18" w14:textId="7C3D595D"/>
    <w:p w:rsidR="1337C37D" w:rsidRDefault="1337C37D" w14:paraId="19B014DA" w14:textId="6799B083"/>
    <w:p w:rsidR="1337C37D" w:rsidRDefault="1337C37D" w14:paraId="61AA1AB7" w14:textId="353223E0"/>
    <w:p w:rsidR="1337C37D" w:rsidRDefault="1337C37D" w14:paraId="04D9380B" w14:textId="5C3456E7"/>
    <w:p w:rsidR="1337C37D" w:rsidRDefault="1337C37D" w14:paraId="4C864CAD" w14:textId="6BCA6EF6"/>
    <w:p w:rsidRPr="00C95344" w:rsidR="001D0D77" w:rsidP="0040069E" w:rsidRDefault="00C95344" w14:paraId="446BEAEA" w14:textId="463ED726">
      <w:pPr>
        <w:rPr>
          <w:b/>
          <w:bCs/>
        </w:rPr>
      </w:pPr>
      <w:r w:rsidRPr="00C95344">
        <w:rPr>
          <w:b/>
          <w:bCs/>
        </w:rPr>
        <w:t>CONTENTS</w:t>
      </w:r>
    </w:p>
    <w:p w:rsidRPr="00C95344" w:rsidR="00C95344" w:rsidP="00C95344" w:rsidRDefault="00C95344" w14:paraId="3F07D5DB" w14:textId="2AA40EB9">
      <w:pPr>
        <w:pStyle w:val="ListParagraph"/>
        <w:numPr>
          <w:ilvl w:val="0"/>
          <w:numId w:val="13"/>
        </w:numPr>
        <w:spacing w:after="160" w:afterAutospacing="0" w:line="259" w:lineRule="auto"/>
      </w:pPr>
      <w:r w:rsidRPr="00C95344">
        <w:t>INTRODUCTION</w:t>
      </w:r>
    </w:p>
    <w:p w:rsidRPr="00C95344" w:rsidR="00C95344" w:rsidP="00C95344" w:rsidRDefault="00C95344" w14:paraId="77A2DA26" w14:textId="3D97D53F">
      <w:pPr>
        <w:pStyle w:val="ListParagraph"/>
        <w:numPr>
          <w:ilvl w:val="0"/>
          <w:numId w:val="13"/>
        </w:numPr>
        <w:spacing w:after="160" w:afterAutospacing="0" w:line="259" w:lineRule="auto"/>
      </w:pPr>
      <w:r w:rsidRPr="00C95344">
        <w:t>SCOPE</w:t>
      </w:r>
    </w:p>
    <w:p w:rsidRPr="00C95344" w:rsidR="00C95344" w:rsidP="00C95344" w:rsidRDefault="00C95344" w14:paraId="5A451193" w14:textId="26C02579">
      <w:pPr>
        <w:pStyle w:val="ListParagraph"/>
        <w:numPr>
          <w:ilvl w:val="0"/>
          <w:numId w:val="13"/>
        </w:numPr>
        <w:spacing w:after="160" w:afterAutospacing="0" w:line="259" w:lineRule="auto"/>
      </w:pPr>
      <w:r w:rsidRPr="00C95344">
        <w:t>MAKING AN APPLICATION</w:t>
      </w:r>
    </w:p>
    <w:p w:rsidRPr="00C95344" w:rsidR="00C95344" w:rsidP="00C95344" w:rsidRDefault="00C95344" w14:paraId="39E65B1A" w14:textId="77777777">
      <w:pPr>
        <w:pStyle w:val="ListParagraph"/>
        <w:numPr>
          <w:ilvl w:val="0"/>
          <w:numId w:val="13"/>
        </w:numPr>
        <w:spacing w:after="160" w:afterAutospacing="0" w:line="259" w:lineRule="auto"/>
      </w:pPr>
      <w:r w:rsidRPr="00C95344">
        <w:t>EXAMPLES OF FLEXIBLE WORKING</w:t>
      </w:r>
    </w:p>
    <w:p w:rsidRPr="00C95344" w:rsidR="00C95344" w:rsidP="00C95344" w:rsidRDefault="00C95344" w14:paraId="7BB59D93" w14:textId="016B0991">
      <w:pPr>
        <w:pStyle w:val="ListParagraph"/>
        <w:numPr>
          <w:ilvl w:val="0"/>
          <w:numId w:val="13"/>
        </w:numPr>
        <w:spacing w:after="160" w:afterAutospacing="0" w:line="259" w:lineRule="auto"/>
      </w:pPr>
      <w:r w:rsidRPr="00C95344">
        <w:t>FLEXIBLE RETIREMENT</w:t>
      </w:r>
    </w:p>
    <w:p w:rsidRPr="00C95344" w:rsidR="00C95344" w:rsidP="00C95344" w:rsidRDefault="00C95344" w14:paraId="487C382D" w14:textId="6083EC37">
      <w:pPr>
        <w:pStyle w:val="ListParagraph"/>
        <w:numPr>
          <w:ilvl w:val="0"/>
          <w:numId w:val="13"/>
        </w:numPr>
        <w:spacing w:after="160" w:afterAutospacing="0" w:line="259" w:lineRule="auto"/>
      </w:pPr>
      <w:r w:rsidRPr="00C95344">
        <w:t>TRIAL PERIODS</w:t>
      </w:r>
    </w:p>
    <w:p w:rsidRPr="00C95344" w:rsidR="00C95344" w:rsidP="00C95344" w:rsidRDefault="00C95344" w14:paraId="714C865E" w14:textId="1FCBB8AA">
      <w:pPr>
        <w:pStyle w:val="ListParagraph"/>
        <w:numPr>
          <w:ilvl w:val="0"/>
          <w:numId w:val="13"/>
        </w:numPr>
        <w:spacing w:after="160" w:afterAutospacing="0" w:line="259" w:lineRule="auto"/>
      </w:pPr>
      <w:r w:rsidRPr="00C95344">
        <w:t>REACHING A DECISION</w:t>
      </w:r>
    </w:p>
    <w:p w:rsidRPr="00C95344" w:rsidR="00C95344" w:rsidP="00C95344" w:rsidRDefault="00C95344" w14:paraId="0D43828A" w14:textId="71F3A51F">
      <w:pPr>
        <w:pStyle w:val="ListParagraph"/>
        <w:numPr>
          <w:ilvl w:val="0"/>
          <w:numId w:val="13"/>
        </w:numPr>
        <w:spacing w:after="160" w:afterAutospacing="0" w:line="259" w:lineRule="auto"/>
      </w:pPr>
      <w:r w:rsidRPr="00C95344">
        <w:t>APPEALS</w:t>
      </w:r>
    </w:p>
    <w:p w:rsidR="00C95344" w:rsidP="00C95344" w:rsidRDefault="00C95344" w14:paraId="68647DF1" w14:textId="72406A5A">
      <w:pPr>
        <w:pStyle w:val="ListParagraph"/>
        <w:numPr>
          <w:ilvl w:val="0"/>
          <w:numId w:val="13"/>
        </w:numPr>
        <w:spacing w:after="160" w:afterAutospacing="0" w:line="259" w:lineRule="auto"/>
      </w:pPr>
      <w:r w:rsidRPr="00C95344">
        <w:t>POLICY REVIEW</w:t>
      </w:r>
    </w:p>
    <w:p w:rsidRPr="00C3682F" w:rsidR="00004924" w:rsidP="5CCDA8AD" w:rsidRDefault="00004924" w14:paraId="152117BD" w14:textId="00529203">
      <w:pPr>
        <w:spacing w:after="160" w:afterAutospacing="off" w:line="259" w:lineRule="auto"/>
        <w:ind w:left="360"/>
        <w:rPr>
          <w:b w:val="1"/>
          <w:bCs w:val="1"/>
        </w:rPr>
      </w:pPr>
      <w:r w:rsidRPr="0288C50C">
        <w:rPr>
          <w:b w:val="1"/>
          <w:bCs w:val="1"/>
        </w:rPr>
        <w:br w:type="page"/>
      </w:r>
      <w:r w:rsidRPr="0288C50C" w:rsidR="42223199">
        <w:rPr>
          <w:b w:val="1"/>
          <w:bCs w:val="1"/>
        </w:rPr>
        <w:t>1</w:t>
      </w:r>
      <w:bookmarkStart w:name="_Toc69915627" w:id="0"/>
      <w:r>
        <w:tab/>
      </w:r>
      <w:r w:rsidRPr="0288C50C" w:rsidR="00004924">
        <w:rPr>
          <w:b w:val="1"/>
          <w:bCs w:val="1"/>
        </w:rPr>
        <w:t>INTRODUCTION</w:t>
      </w:r>
      <w:bookmarkEnd w:id="0"/>
    </w:p>
    <w:p w:rsidR="008B62A9" w:rsidP="00C95344" w:rsidRDefault="008B62A9" w14:paraId="5E790DCF" w14:textId="703AF357">
      <w:pPr>
        <w:jc w:val="both"/>
      </w:pPr>
      <w:r>
        <w:t>The University recognises that flexible working can provide benefits to both colleagues and the University and aims to support colleagues where possible to manage the balance between work and home life.</w:t>
      </w:r>
    </w:p>
    <w:p w:rsidR="00004924" w:rsidP="00C95344" w:rsidRDefault="008B62A9" w14:paraId="3C691DAF" w14:textId="0860EB04">
      <w:pPr>
        <w:jc w:val="both"/>
      </w:pPr>
      <w:r>
        <w:t>Managers are encouraged to facilitate requests unless they cannot be accommodated for business or operational reasons.</w:t>
      </w:r>
    </w:p>
    <w:p w:rsidR="00004924" w:rsidP="00C95344" w:rsidRDefault="00004924" w14:paraId="27A48A22" w14:textId="5EBA512B">
      <w:pPr>
        <w:jc w:val="both"/>
      </w:pPr>
      <w:r w:rsidR="00004924">
        <w:rPr/>
        <w:t xml:space="preserve">This policy applies to all </w:t>
      </w:r>
      <w:r w:rsidR="00EA3157">
        <w:rPr/>
        <w:t xml:space="preserve">colleagues </w:t>
      </w:r>
      <w:r w:rsidR="00004924">
        <w:rPr/>
        <w:t>of the University</w:t>
      </w:r>
      <w:r w:rsidR="00666D4D">
        <w:rPr/>
        <w:t xml:space="preserve"> whether </w:t>
      </w:r>
      <w:r w:rsidR="006D0E4D">
        <w:rPr/>
        <w:t>employed</w:t>
      </w:r>
      <w:r w:rsidR="00666D4D">
        <w:rPr/>
        <w:t xml:space="preserve"> on a full-</w:t>
      </w:r>
      <w:r w:rsidR="006D0E4D">
        <w:rPr/>
        <w:t>time, part</w:t>
      </w:r>
      <w:r w:rsidR="00666D4D">
        <w:rPr/>
        <w:t>-</w:t>
      </w:r>
      <w:r w:rsidR="006D0E4D">
        <w:rPr/>
        <w:t xml:space="preserve">time, </w:t>
      </w:r>
      <w:r w:rsidR="00255C77">
        <w:rPr/>
        <w:t>fixed term</w:t>
      </w:r>
      <w:r w:rsidR="00666D4D">
        <w:rPr/>
        <w:t xml:space="preserve"> or permanent basis</w:t>
      </w:r>
      <w:r w:rsidR="006D0E4D">
        <w:rPr/>
        <w:t xml:space="preserve">, applicable from </w:t>
      </w:r>
      <w:r w:rsidR="006D0E4D">
        <w:rPr/>
        <w:t>day one</w:t>
      </w:r>
      <w:r w:rsidR="006D0E4D">
        <w:rPr/>
        <w:t xml:space="preserve"> of employment</w:t>
      </w:r>
      <w:r w:rsidR="00666D4D">
        <w:rPr/>
        <w:t xml:space="preserve">. It does not apply to agency workers or </w:t>
      </w:r>
      <w:r w:rsidR="006D0E4D">
        <w:rPr/>
        <w:t>self-employed</w:t>
      </w:r>
      <w:r w:rsidR="00666D4D">
        <w:rPr/>
        <w:t xml:space="preserve"> contractors</w:t>
      </w:r>
    </w:p>
    <w:p w:rsidR="00004924" w:rsidP="0288C50C" w:rsidRDefault="00255C77" w14:paraId="1FC7EF33" w14:textId="35F2C200">
      <w:pPr>
        <w:ind/>
        <w:jc w:val="both"/>
      </w:pPr>
      <w:r w:rsidR="125E1E66">
        <w:rPr/>
        <w:t>Colleagues</w:t>
      </w:r>
      <w:r w:rsidR="4835D2C2">
        <w:rPr/>
        <w:t xml:space="preserve"> are entitled to make up to two statutory </w:t>
      </w:r>
      <w:r w:rsidR="29BE1E4A">
        <w:rPr/>
        <w:t>flexible</w:t>
      </w:r>
      <w:r w:rsidR="4835D2C2">
        <w:rPr/>
        <w:t xml:space="preserve"> working requests in any </w:t>
      </w:r>
      <w:r w:rsidR="7C138CB2">
        <w:rPr/>
        <w:t>rolling</w:t>
      </w:r>
      <w:r w:rsidR="4835D2C2">
        <w:rPr/>
        <w:t>12-month</w:t>
      </w:r>
      <w:r w:rsidR="4835D2C2">
        <w:rPr/>
        <w:t xml:space="preserve"> per</w:t>
      </w:r>
      <w:r w:rsidR="4835D2C2">
        <w:rPr/>
        <w:t xml:space="preserve">iod. </w:t>
      </w:r>
    </w:p>
    <w:p w:rsidR="00004924" w:rsidP="0288C50C" w:rsidRDefault="00255C77" w14:paraId="4A49F03A" w14:textId="7E45197A">
      <w:pPr>
        <w:ind/>
        <w:jc w:val="both"/>
      </w:pPr>
    </w:p>
    <w:p w:rsidR="00004924" w:rsidP="0288C50C" w:rsidRDefault="00255C77" w14:paraId="2786B0C8" w14:textId="55F32E92">
      <w:pPr>
        <w:ind/>
        <w:jc w:val="both"/>
      </w:pPr>
      <w:bookmarkStart w:name="_Toc69915629" w:id="1"/>
      <w:r w:rsidR="00255C77">
        <w:rPr/>
        <w:t>2</w:t>
      </w:r>
      <w:r>
        <w:tab/>
      </w:r>
      <w:r w:rsidRPr="052E7761" w:rsidR="00004924">
        <w:rPr>
          <w:rStyle w:val="Heading1Char"/>
        </w:rPr>
        <w:t>SCOPE</w:t>
      </w:r>
      <w:bookmarkEnd w:id="1"/>
    </w:p>
    <w:p w:rsidR="00004924" w:rsidP="00C95344" w:rsidRDefault="00004924" w14:paraId="7538A844" w14:textId="5BFC0B93">
      <w:pPr>
        <w:jc w:val="both"/>
      </w:pPr>
      <w:r w:rsidR="00004924">
        <w:rPr/>
        <w:t xml:space="preserve">Arrangements may be requests which are temporary or permanent. </w:t>
      </w:r>
      <w:r w:rsidR="1A436AAC">
        <w:rPr/>
        <w:t xml:space="preserve"> A colleague does not have to explain how a flexible working change woul</w:t>
      </w:r>
      <w:r w:rsidR="1A436AAC">
        <w:rPr/>
        <w:t>d affect Bangor Univer</w:t>
      </w:r>
      <w:r w:rsidR="188E68F5">
        <w:rPr/>
        <w:t>sity, nor do they have to explain how they will deal with the change.</w:t>
      </w:r>
    </w:p>
    <w:p w:rsidR="00004924" w:rsidP="00C95344" w:rsidRDefault="00004924" w14:paraId="199C4113" w14:textId="77777777">
      <w:pPr>
        <w:jc w:val="both"/>
      </w:pPr>
      <w:r>
        <w:t>The University recognises the positive impact of flexible working arrangements to:</w:t>
      </w:r>
    </w:p>
    <w:p w:rsidR="00004924" w:rsidP="00C95344" w:rsidRDefault="00004924" w14:paraId="1A793FDC" w14:textId="77777777">
      <w:pPr>
        <w:pStyle w:val="ListParagraph"/>
        <w:numPr>
          <w:ilvl w:val="0"/>
          <w:numId w:val="4"/>
        </w:numPr>
        <w:jc w:val="both"/>
      </w:pPr>
      <w:r>
        <w:t>improve business efficiency and productivity;</w:t>
      </w:r>
    </w:p>
    <w:p w:rsidR="00004924" w:rsidP="00C95344" w:rsidRDefault="00004924" w14:paraId="3893991D" w14:textId="77777777">
      <w:pPr>
        <w:pStyle w:val="ListParagraph"/>
        <w:numPr>
          <w:ilvl w:val="0"/>
          <w:numId w:val="4"/>
        </w:numPr>
        <w:jc w:val="both"/>
      </w:pPr>
      <w:r>
        <w:t>improve the balance between life and work;</w:t>
      </w:r>
    </w:p>
    <w:p w:rsidR="00004924" w:rsidP="00C95344" w:rsidRDefault="00004924" w14:paraId="1165BE3C" w14:textId="77777777">
      <w:pPr>
        <w:pStyle w:val="ListParagraph"/>
        <w:numPr>
          <w:ilvl w:val="0"/>
          <w:numId w:val="4"/>
        </w:numPr>
        <w:jc w:val="both"/>
      </w:pPr>
      <w:r>
        <w:t>create a positive and inclusive environment;</w:t>
      </w:r>
    </w:p>
    <w:p w:rsidR="00004924" w:rsidP="00C95344" w:rsidRDefault="00004924" w14:paraId="073FCF54" w14:textId="02C99B94">
      <w:pPr>
        <w:jc w:val="both"/>
      </w:pPr>
      <w:r>
        <w:t xml:space="preserve">The College/School /Department will consider all requests for flexible working on their own merits, and assessing each request based on the needs of both the business and the </w:t>
      </w:r>
      <w:r w:rsidR="00EA3157">
        <w:t>colleague</w:t>
      </w:r>
      <w:r>
        <w:t>.</w:t>
      </w:r>
    </w:p>
    <w:p w:rsidR="00004924" w:rsidP="00C95344" w:rsidRDefault="00004924" w14:paraId="72AEE7BC" w14:textId="02BD48D3">
      <w:pPr>
        <w:jc w:val="both"/>
      </w:pPr>
      <w:r w:rsidR="00004924">
        <w:rPr/>
        <w:t xml:space="preserve">It shall be the responsibility of the </w:t>
      </w:r>
      <w:r w:rsidR="003E177E">
        <w:rPr/>
        <w:t>Line M</w:t>
      </w:r>
      <w:r w:rsidR="00004924">
        <w:rPr/>
        <w:t>anager</w:t>
      </w:r>
      <w:r w:rsidR="00EA3157">
        <w:rPr/>
        <w:t xml:space="preserve"> </w:t>
      </w:r>
      <w:r w:rsidR="00004924">
        <w:rPr/>
        <w:t xml:space="preserve">to consider, assess and evaluate the potential business implications of implementing flexible working arrangements, for instance, but not limited to, the potential impact on costs, supervision, staff, </w:t>
      </w:r>
      <w:r w:rsidR="0CF37E6E">
        <w:rPr/>
        <w:t>s</w:t>
      </w:r>
      <w:r w:rsidR="0CF37E6E">
        <w:rPr/>
        <w:t>ervices,</w:t>
      </w:r>
      <w:r w:rsidR="00004924">
        <w:rPr/>
        <w:t xml:space="preserve"> and the University’s ability to meet its </w:t>
      </w:r>
      <w:r w:rsidR="00004924">
        <w:rPr/>
        <w:t>objectives</w:t>
      </w:r>
      <w:r w:rsidR="00004924">
        <w:rPr/>
        <w:t>.</w:t>
      </w:r>
    </w:p>
    <w:p w:rsidR="00004924" w:rsidP="00C95344" w:rsidRDefault="00004924" w14:paraId="3AFD110E" w14:textId="4CD1306F">
      <w:pPr>
        <w:jc w:val="both"/>
      </w:pPr>
      <w:r w:rsidR="00004924">
        <w:rPr/>
        <w:t xml:space="preserve">It shall be the responsibility of the </w:t>
      </w:r>
      <w:r w:rsidR="003E177E">
        <w:rPr/>
        <w:t>Line M</w:t>
      </w:r>
      <w:r w:rsidR="00004924">
        <w:rPr/>
        <w:t>anager and</w:t>
      </w:r>
      <w:r w:rsidR="00EA3157">
        <w:rPr/>
        <w:t xml:space="preserve"> </w:t>
      </w:r>
      <w:r w:rsidR="00004924">
        <w:rPr/>
        <w:t xml:space="preserve">to proactively manage flexible working </w:t>
      </w:r>
      <w:r w:rsidR="00D1302B">
        <w:rPr/>
        <w:t>arrangements</w:t>
      </w:r>
      <w:r w:rsidR="00004924">
        <w:rPr/>
        <w:t xml:space="preserve">, regularly reviewing existing flexible working arrangements (at least annually) to ensure that these continue to be effective in meeting the needs of both the University and the </w:t>
      </w:r>
      <w:r w:rsidR="00EB6487">
        <w:rPr/>
        <w:t>colleague</w:t>
      </w:r>
      <w:r w:rsidR="00004924">
        <w:rPr/>
        <w:t>.</w:t>
      </w:r>
    </w:p>
    <w:p w:rsidR="003E177E" w:rsidP="00C95344" w:rsidRDefault="003E177E" w14:paraId="4550C273" w14:textId="3F59639F">
      <w:pPr>
        <w:jc w:val="both"/>
      </w:pPr>
      <w:r w:rsidR="003E177E">
        <w:rPr/>
        <w:t xml:space="preserve">Please note, flexible working will not be suitable for all roles at the University, for example colleagues who need to be on site to do their jobs, such as dedicated customer facing colleagues </w:t>
      </w:r>
      <w:r w:rsidR="1E48758D">
        <w:rPr/>
        <w:t>e</w:t>
      </w:r>
      <w:r w:rsidR="1E48758D">
        <w:rPr/>
        <w:t>.g.</w:t>
      </w:r>
      <w:r w:rsidR="003E177E">
        <w:rPr/>
        <w:t xml:space="preserve"> Security, Catering.</w:t>
      </w:r>
    </w:p>
    <w:p w:rsidR="00B37E63" w:rsidP="00C95344" w:rsidRDefault="00B37E63" w14:paraId="1622E094" w14:textId="27F472FC">
      <w:pPr>
        <w:jc w:val="both"/>
      </w:pPr>
      <w:r w:rsidR="00B37E63">
        <w:rPr/>
        <w:t xml:space="preserve">Should a colleague hold a Tier 2 / Skilled work visa, please consult the Human Resources Office at the earliest opportunity before </w:t>
      </w:r>
      <w:r w:rsidR="00B37E63">
        <w:rPr/>
        <w:t>submitting</w:t>
      </w:r>
      <w:r w:rsidR="00B37E63">
        <w:rPr/>
        <w:t xml:space="preserve"> your request for flexible working </w:t>
      </w:r>
      <w:r w:rsidR="00B37E63">
        <w:rPr/>
        <w:t>in order to</w:t>
      </w:r>
      <w:r w:rsidR="00B37E63">
        <w:rPr/>
        <w:t xml:space="preserve"> ensure it is permissible under your visa route – </w:t>
      </w:r>
      <w:r w:rsidR="6934B709">
        <w:rPr/>
        <w:t>i.e.</w:t>
      </w:r>
      <w:r w:rsidR="00B37E63">
        <w:rPr/>
        <w:t>, that you will not fall below the minimum salary requirements for your visa etc</w:t>
      </w:r>
    </w:p>
    <w:p w:rsidR="00004924" w:rsidP="00C95344" w:rsidRDefault="00C95344" w14:paraId="1984265F" w14:textId="51F24991">
      <w:pPr>
        <w:pStyle w:val="Heading1"/>
      </w:pPr>
      <w:bookmarkStart w:name="_Toc69915630" w:id="2"/>
      <w:r>
        <w:t>3</w:t>
      </w:r>
      <w:r>
        <w:tab/>
      </w:r>
      <w:r w:rsidR="00004924">
        <w:t>MAKING AN APPLICATION</w:t>
      </w:r>
      <w:bookmarkEnd w:id="2"/>
    </w:p>
    <w:p w:rsidR="003E177E" w:rsidP="00C3682F" w:rsidRDefault="003E177E" w14:paraId="075E1815" w14:textId="4900E5EC">
      <w:pPr>
        <w:pStyle w:val="ListParagraph"/>
        <w:numPr>
          <w:ilvl w:val="0"/>
          <w:numId w:val="5"/>
        </w:numPr>
        <w:jc w:val="both"/>
      </w:pPr>
      <w:r>
        <w:t>Colleagues are encourage</w:t>
      </w:r>
      <w:r w:rsidR="00EA3157">
        <w:t xml:space="preserve">d </w:t>
      </w:r>
      <w:r>
        <w:t>to have an open conversation with their manager where they feel they may benefit from flexible working. All requests must then be made via the completion of the Flexible Working form in iTrent</w:t>
      </w:r>
      <w:r w:rsidR="00EA3157">
        <w:t>. Once submitted, this request will be formally considered by the Line Manager.</w:t>
      </w:r>
    </w:p>
    <w:p w:rsidR="00004924" w:rsidP="00C3682F" w:rsidRDefault="00EA3157" w14:paraId="0435F3CB" w14:textId="31B46F84">
      <w:pPr>
        <w:pStyle w:val="ListParagraph"/>
        <w:numPr>
          <w:ilvl w:val="0"/>
          <w:numId w:val="5"/>
        </w:numPr>
        <w:jc w:val="both"/>
        <w:rPr/>
      </w:pPr>
      <w:r w:rsidR="00EA3157">
        <w:rPr/>
        <w:t xml:space="preserve">Where necessary, the Line Manager should meet with the colleague, within 28 days of receiving the request, to discuss the details further. </w:t>
      </w:r>
      <w:r w:rsidR="00004924">
        <w:rPr/>
        <w:t xml:space="preserve">If the </w:t>
      </w:r>
      <w:r w:rsidR="00EA3157">
        <w:rPr/>
        <w:t>Line M</w:t>
      </w:r>
      <w:r w:rsidR="00004924">
        <w:rPr/>
        <w:t>anager has already decided to approve the formal request a meeting may not be needed</w:t>
      </w:r>
      <w:r w:rsidR="00715C8B">
        <w:rPr/>
        <w:t>.</w:t>
      </w:r>
    </w:p>
    <w:p w:rsidR="388F6C90" w:rsidP="5CCDA8AD" w:rsidRDefault="388F6C90" w14:paraId="319AAAE3" w14:textId="2E8A2711">
      <w:pPr>
        <w:pStyle w:val="ListParagraph"/>
        <w:numPr>
          <w:ilvl w:val="0"/>
          <w:numId w:val="5"/>
        </w:numPr>
        <w:jc w:val="both"/>
        <w:rPr>
          <w:sz w:val="24"/>
          <w:szCs w:val="24"/>
        </w:rPr>
      </w:pPr>
      <w:r w:rsidRPr="3F99CDF6" w:rsidR="388F6C90">
        <w:rPr>
          <w:sz w:val="24"/>
          <w:szCs w:val="24"/>
        </w:rPr>
        <w:t xml:space="preserve">A decision on the flexible working request </w:t>
      </w:r>
      <w:r w:rsidRPr="3F99CDF6" w:rsidR="31024D83">
        <w:rPr>
          <w:sz w:val="24"/>
          <w:szCs w:val="24"/>
        </w:rPr>
        <w:t>should</w:t>
      </w:r>
      <w:r w:rsidRPr="3F99CDF6" w:rsidR="388F6C90">
        <w:rPr>
          <w:sz w:val="24"/>
          <w:szCs w:val="24"/>
        </w:rPr>
        <w:t xml:space="preserve"> be made by the Li</w:t>
      </w:r>
      <w:r w:rsidRPr="3F99CDF6" w:rsidR="45CB6202">
        <w:rPr>
          <w:sz w:val="24"/>
          <w:szCs w:val="24"/>
        </w:rPr>
        <w:t>n</w:t>
      </w:r>
      <w:r w:rsidRPr="3F99CDF6" w:rsidR="388F6C90">
        <w:rPr>
          <w:sz w:val="24"/>
          <w:szCs w:val="24"/>
        </w:rPr>
        <w:t>e Manager within</w:t>
      </w:r>
      <w:r w:rsidRPr="3F99CDF6" w:rsidR="388F6C90">
        <w:rPr>
          <w:sz w:val="24"/>
          <w:szCs w:val="24"/>
        </w:rPr>
        <w:t xml:space="preserve"> two mo</w:t>
      </w:r>
      <w:r w:rsidRPr="3F99CDF6" w:rsidR="7D16B603">
        <w:rPr>
          <w:sz w:val="24"/>
          <w:szCs w:val="24"/>
        </w:rPr>
        <w:t xml:space="preserve">nths. </w:t>
      </w:r>
    </w:p>
    <w:p w:rsidR="00EA3157" w:rsidP="00C3682F" w:rsidRDefault="00EA3157" w14:paraId="3E755739" w14:textId="2902DB10">
      <w:pPr>
        <w:pStyle w:val="ListParagraph"/>
        <w:numPr>
          <w:ilvl w:val="0"/>
          <w:numId w:val="5"/>
        </w:numPr>
        <w:jc w:val="both"/>
        <w:rPr/>
      </w:pPr>
      <w:r w:rsidR="00EA3157">
        <w:rPr/>
        <w:t xml:space="preserve">Once a decision has been reached, the Line Manager will complete the required sections of the form in </w:t>
      </w:r>
      <w:r w:rsidR="00EA3157">
        <w:rPr/>
        <w:t>iTrent</w:t>
      </w:r>
      <w:r w:rsidR="00EA3157">
        <w:rPr/>
        <w:t xml:space="preserve"> before </w:t>
      </w:r>
      <w:r w:rsidR="00EA3157">
        <w:rPr/>
        <w:t>submitting</w:t>
      </w:r>
      <w:r w:rsidR="00EA3157">
        <w:rPr/>
        <w:t xml:space="preserve"> to Human Resources for processing. Should the application be declined, the Line Manager must confirm</w:t>
      </w:r>
      <w:r w:rsidR="008C623D">
        <w:rPr/>
        <w:t xml:space="preserve"> </w:t>
      </w:r>
      <w:r w:rsidR="00EA3157">
        <w:rPr/>
        <w:t>the reasons why. The request can only be rejected under the business reasons as set out in legislation, as detailed below.</w:t>
      </w:r>
      <w:r w:rsidR="008C623D">
        <w:rPr/>
        <w:t xml:space="preserve"> Should the request be agreed, Human Resources will issue an Addendum of contract to confirm the revised work pattern, informing the </w:t>
      </w:r>
      <w:r w:rsidR="61E171FB">
        <w:rPr/>
        <w:t>payroll</w:t>
      </w:r>
      <w:r w:rsidR="008C623D">
        <w:rPr/>
        <w:t xml:space="preserve"> department of the change</w:t>
      </w:r>
    </w:p>
    <w:p w:rsidR="00004924" w:rsidP="00C3682F" w:rsidRDefault="00004924" w14:paraId="24D67343" w14:textId="79857241">
      <w:pPr>
        <w:pStyle w:val="ListParagraph"/>
        <w:numPr>
          <w:ilvl w:val="0"/>
          <w:numId w:val="5"/>
        </w:numPr>
        <w:jc w:val="both"/>
        <w:rPr/>
      </w:pPr>
      <w:r w:rsidR="0417094F">
        <w:rPr/>
        <w:t xml:space="preserve">The Line </w:t>
      </w:r>
      <w:r w:rsidR="00004924">
        <w:rPr/>
        <w:t xml:space="preserve">Manager considers the request and confirms with HR </w:t>
      </w:r>
      <w:r w:rsidR="476DFA13">
        <w:rPr/>
        <w:t xml:space="preserve">by completing their part of the form </w:t>
      </w:r>
      <w:r w:rsidR="476DFA13">
        <w:rPr/>
        <w:t>within</w:t>
      </w:r>
      <w:r w:rsidR="476DFA13">
        <w:rPr/>
        <w:t xml:space="preserve"> </w:t>
      </w:r>
      <w:r w:rsidR="476DFA13">
        <w:rPr/>
        <w:t>iTrent</w:t>
      </w:r>
      <w:r w:rsidR="476DFA13">
        <w:rPr/>
        <w:t xml:space="preserve">, </w:t>
      </w:r>
      <w:r w:rsidR="00004924">
        <w:rPr/>
        <w:t xml:space="preserve">whether they are unable to approve or approve </w:t>
      </w:r>
      <w:r w:rsidR="00715C8B">
        <w:rPr/>
        <w:t xml:space="preserve">the </w:t>
      </w:r>
      <w:r w:rsidR="00004924">
        <w:rPr/>
        <w:t>request. If unable to approve, the</w:t>
      </w:r>
      <w:r w:rsidR="1BA05C30">
        <w:rPr/>
        <w:t xml:space="preserve"> Line</w:t>
      </w:r>
      <w:r w:rsidR="00004924">
        <w:rPr/>
        <w:t xml:space="preserve"> </w:t>
      </w:r>
      <w:r w:rsidR="01CE2485">
        <w:rPr/>
        <w:t>M</w:t>
      </w:r>
      <w:r w:rsidR="00004924">
        <w:rPr/>
        <w:t>anager must confirm the reasons why</w:t>
      </w:r>
      <w:r w:rsidR="00715C8B">
        <w:rPr/>
        <w:t>.</w:t>
      </w:r>
    </w:p>
    <w:p w:rsidR="00004924" w:rsidP="0288C50C" w:rsidRDefault="00C95344" w14:paraId="4DD402F5" w14:textId="1BD49D56">
      <w:pPr>
        <w:pStyle w:val="ListParagraph"/>
        <w:numPr>
          <w:ilvl w:val="0"/>
          <w:numId w:val="5"/>
        </w:numPr>
        <w:jc w:val="both"/>
        <w:rPr/>
      </w:pPr>
      <w:r w:rsidR="00004924">
        <w:rPr/>
        <w:t>HR formally contacts the employee with the outcome, issuing an addendum of contract where an application of flexible working is approved</w:t>
      </w:r>
      <w:r w:rsidR="0034661F">
        <w:rPr/>
        <w:t>.</w:t>
      </w:r>
    </w:p>
    <w:p w:rsidR="00004924" w:rsidP="0288C50C" w:rsidRDefault="00C95344" w14:paraId="3D613DA2" w14:textId="76414AE4">
      <w:pPr>
        <w:pStyle w:val="Normal"/>
        <w:ind w:left="0"/>
        <w:jc w:val="both"/>
        <w:rPr>
          <w:sz w:val="24"/>
          <w:szCs w:val="24"/>
        </w:rPr>
      </w:pPr>
    </w:p>
    <w:p w:rsidR="00004924" w:rsidP="0288C50C" w:rsidRDefault="00C95344" w14:paraId="6105DD9A" w14:textId="11FFFA89">
      <w:pPr>
        <w:pStyle w:val="Normal"/>
        <w:ind w:left="0"/>
        <w:jc w:val="both"/>
        <w:rPr>
          <w:b w:val="1"/>
          <w:bCs w:val="1"/>
        </w:rPr>
      </w:pPr>
      <w:bookmarkStart w:name="_Toc69915631" w:id="3"/>
      <w:r w:rsidRPr="0288C50C" w:rsidR="78044B60">
        <w:rPr>
          <w:b w:val="1"/>
          <w:bCs w:val="1"/>
        </w:rPr>
        <w:t>4</w:t>
      </w:r>
      <w:r w:rsidRPr="0288C50C" w:rsidR="49CD9C86">
        <w:rPr>
          <w:b w:val="1"/>
          <w:bCs w:val="1"/>
        </w:rPr>
        <w:t xml:space="preserve"> </w:t>
      </w:r>
      <w:r>
        <w:tab/>
      </w:r>
      <w:r w:rsidRPr="0288C50C" w:rsidR="00004924">
        <w:rPr>
          <w:b w:val="1"/>
          <w:bCs w:val="1"/>
        </w:rPr>
        <w:t>EXAMPLES OF FLEXIBLE WORKING</w:t>
      </w:r>
      <w:bookmarkEnd w:id="3"/>
    </w:p>
    <w:p w:rsidR="0288C50C" w:rsidP="0288C50C" w:rsidRDefault="0288C50C" w14:paraId="7DDEE495" w14:textId="107F38AF">
      <w:pPr>
        <w:pStyle w:val="Normal"/>
        <w:ind w:left="0"/>
        <w:jc w:val="both"/>
      </w:pPr>
    </w:p>
    <w:p w:rsidRPr="003B4F4A" w:rsidR="008C623D" w:rsidP="00C95344" w:rsidRDefault="008C623D" w14:paraId="2D5FC412" w14:textId="5A84A912">
      <w:pPr>
        <w:pStyle w:val="BodyText"/>
        <w:jc w:val="both"/>
      </w:pPr>
      <w:r w:rsidRPr="0288C50C" w:rsidR="008C623D">
        <w:rPr>
          <w:rStyle w:val="normaltextrun"/>
        </w:rPr>
        <w:t xml:space="preserve">A range of flexible working practices and a variety of flexible working arrangements exist within the University. </w:t>
      </w:r>
      <w:r w:rsidRPr="0288C50C" w:rsidR="00C3682F">
        <w:rPr>
          <w:rStyle w:val="normaltextrun"/>
        </w:rPr>
        <w:t xml:space="preserve">Flexible working can also be requested as a reasonable adjustment to help colleagues manage their health alongside work. For example, </w:t>
      </w:r>
      <w:r w:rsidRPr="0288C50C" w:rsidR="00C3682F">
        <w:rPr>
          <w:rStyle w:val="normaltextrun"/>
        </w:rPr>
        <w:t xml:space="preserve">a disability, </w:t>
      </w:r>
      <w:r w:rsidRPr="0288C50C" w:rsidR="00C3682F">
        <w:rPr>
          <w:rStyle w:val="normaltextrun"/>
        </w:rPr>
        <w:t>illness</w:t>
      </w:r>
      <w:r w:rsidRPr="0288C50C" w:rsidR="0A7D9FB3">
        <w:rPr>
          <w:rStyle w:val="normaltextrun"/>
        </w:rPr>
        <w:t>,</w:t>
      </w:r>
      <w:r w:rsidRPr="0288C50C" w:rsidR="00C3682F">
        <w:rPr>
          <w:rStyle w:val="normaltextrun"/>
        </w:rPr>
        <w:t xml:space="preserve"> or a life stage such as menopausal symptoms may require flexible working on a temporary or permanent basis</w:t>
      </w:r>
      <w:r w:rsidRPr="0288C50C" w:rsidR="00C3682F">
        <w:rPr>
          <w:rStyle w:val="normaltextrun"/>
        </w:rPr>
        <w:t xml:space="preserve">. </w:t>
      </w:r>
      <w:r w:rsidRPr="0288C50C" w:rsidR="008C623D">
        <w:rPr>
          <w:rStyle w:val="normaltextrun"/>
        </w:rPr>
        <w:t>The types of flexible working detailed below are given as examples of flexible working that can be requested by colleagues, if mutually beneficial.</w:t>
      </w:r>
      <w:r w:rsidRPr="0288C50C" w:rsidR="008C623D">
        <w:rPr>
          <w:rStyle w:val="eop"/>
        </w:rPr>
        <w:t> </w:t>
      </w:r>
    </w:p>
    <w:p w:rsidR="00004924" w:rsidP="00C3682F" w:rsidRDefault="008C623D" w14:paraId="391345FF" w14:textId="502CA4B7">
      <w:pPr>
        <w:pStyle w:val="ListParagraph"/>
        <w:numPr>
          <w:ilvl w:val="0"/>
          <w:numId w:val="6"/>
        </w:numPr>
        <w:jc w:val="both"/>
      </w:pPr>
      <w:r>
        <w:t>A change from full-time to p</w:t>
      </w:r>
      <w:r w:rsidR="00004924">
        <w:t>art-</w:t>
      </w:r>
      <w:r>
        <w:t>t</w:t>
      </w:r>
      <w:r w:rsidR="00004924">
        <w:t xml:space="preserve">ime </w:t>
      </w:r>
      <w:r>
        <w:t>w</w:t>
      </w:r>
      <w:r w:rsidR="00004924">
        <w:t xml:space="preserve">orking - </w:t>
      </w:r>
      <w:r w:rsidRPr="00C95344">
        <w:t xml:space="preserve">Where an employee would like to decrease their hours of </w:t>
      </w:r>
      <w:r w:rsidRPr="00C95344" w:rsidR="003B4F4A">
        <w:t>work</w:t>
      </w:r>
      <w:r w:rsidRPr="00C95344">
        <w:t xml:space="preserve">. Please note, an increase in hours for those </w:t>
      </w:r>
      <w:r w:rsidRPr="00C95344" w:rsidR="003B4F4A">
        <w:t>who</w:t>
      </w:r>
      <w:r w:rsidRPr="00C95344">
        <w:t xml:space="preserve"> hold a part-time contract of employment </w:t>
      </w:r>
      <w:r w:rsidRPr="00C95344" w:rsidR="00490A5A">
        <w:t>must</w:t>
      </w:r>
      <w:r w:rsidRPr="00C95344">
        <w:t xml:space="preserve"> be requested in iTrent by the Line Manager.</w:t>
      </w:r>
      <w:r w:rsidR="00004924">
        <w:t xml:space="preserve"> </w:t>
      </w:r>
    </w:p>
    <w:p w:rsidR="00004924" w:rsidP="00C3682F" w:rsidRDefault="00004924" w14:paraId="33711470" w14:textId="49E52755">
      <w:pPr>
        <w:pStyle w:val="ListParagraph"/>
        <w:numPr>
          <w:ilvl w:val="0"/>
          <w:numId w:val="6"/>
        </w:numPr>
        <w:jc w:val="both"/>
      </w:pPr>
      <w:r>
        <w:t xml:space="preserve">Job </w:t>
      </w:r>
      <w:r w:rsidR="008C623D">
        <w:t>s</w:t>
      </w:r>
      <w:r>
        <w:t xml:space="preserve">haring - </w:t>
      </w:r>
      <w:r w:rsidRPr="00C95344" w:rsidR="008C623D">
        <w:t>This is a formal arrangement where two people voluntarily share duties and responsibilities of one full time post and the salary and benefits on a pro rata basis.  Both colleagues take joint responsibility for the whole job</w:t>
      </w:r>
      <w:r w:rsidR="008C623D">
        <w:t xml:space="preserve"> </w:t>
      </w:r>
    </w:p>
    <w:p w:rsidRPr="00273029" w:rsidR="00004924" w:rsidP="00C3682F" w:rsidRDefault="00004924" w14:paraId="1429ED7F" w14:textId="47A85B08">
      <w:pPr>
        <w:pStyle w:val="ListParagraph"/>
        <w:numPr>
          <w:ilvl w:val="0"/>
          <w:numId w:val="6"/>
        </w:numPr>
        <w:jc w:val="both"/>
        <w:rPr/>
      </w:pPr>
      <w:r w:rsidR="00004924">
        <w:rPr/>
        <w:t xml:space="preserve">Compressed hours - Compressed hours may be useful for </w:t>
      </w:r>
      <w:r w:rsidR="008C623D">
        <w:rPr/>
        <w:t xml:space="preserve">colleagues </w:t>
      </w:r>
      <w:r w:rsidR="00004924">
        <w:rPr/>
        <w:t xml:space="preserve">who wish to continue to work current total hours and </w:t>
      </w:r>
      <w:r w:rsidR="00004924">
        <w:rPr/>
        <w:t>retain</w:t>
      </w:r>
      <w:r w:rsidR="00004924">
        <w:rPr/>
        <w:t xml:space="preserve"> current benefits but would prefer to compress the hours into a shorter working week or fortnight, thereby </w:t>
      </w:r>
      <w:r w:rsidR="00004924">
        <w:rPr/>
        <w:t>allowing some ‘free time’ during the normal working week. An example is a ‘nine-day fortnight’ with 10 days' worth of hours worked over nine slightly longer days, allowing one day off per fortnight.</w:t>
      </w:r>
    </w:p>
    <w:p w:rsidR="5CCDA8AD" w:rsidP="0288C50C" w:rsidRDefault="5CCDA8AD" w14:paraId="1FA4DD55" w14:textId="2A791AB1">
      <w:pPr>
        <w:pStyle w:val="Normal"/>
        <w:ind w:left="0"/>
        <w:jc w:val="both"/>
        <w:rPr>
          <w:sz w:val="24"/>
          <w:szCs w:val="24"/>
        </w:rPr>
      </w:pPr>
    </w:p>
    <w:p w:rsidRPr="003B4F4A" w:rsidR="00FE6959" w:rsidP="00C95344" w:rsidRDefault="00FE6959" w14:paraId="6455A18E" w14:textId="18CF72A2">
      <w:pPr>
        <w:rPr>
          <w:rFonts w:asciiTheme="minorHAnsi" w:hAnsiTheme="minorHAnsi" w:eastAsiaTheme="minorEastAsia" w:cstheme="minorBidi"/>
        </w:rPr>
      </w:pPr>
      <w:r w:rsidRPr="00BB4DAD">
        <w:t>Dynamic Working</w:t>
      </w:r>
    </w:p>
    <w:p w:rsidR="00C95344" w:rsidP="5CCDA8AD" w:rsidRDefault="00FC1CAB" w14:paraId="2D4EE9A4" w14:textId="70C38B99">
      <w:pPr>
        <w:spacing w:before="100" w:beforeAutospacing="on" w:line="240" w:lineRule="auto"/>
        <w:jc w:val="both"/>
        <w:rPr>
          <w:color w:val="000000"/>
          <w:lang w:eastAsia="en-GB"/>
        </w:rPr>
      </w:pPr>
      <w:r w:rsidRPr="0288C50C" w:rsidR="00FC1CAB">
        <w:rPr>
          <w:color w:val="000000" w:themeColor="text1" w:themeTint="FF" w:themeShade="FF"/>
          <w:lang w:eastAsia="en-GB"/>
        </w:rPr>
        <w:t xml:space="preserve">Dynamic working is not a right to work from home, but a framework to help </w:t>
      </w:r>
      <w:r w:rsidRPr="0288C50C" w:rsidR="005A0DF9">
        <w:rPr>
          <w:color w:val="000000" w:themeColor="text1" w:themeTint="FF" w:themeShade="FF"/>
          <w:lang w:eastAsia="en-GB"/>
        </w:rPr>
        <w:t>colleagues</w:t>
      </w:r>
      <w:r w:rsidRPr="0288C50C" w:rsidR="00FC1CAB">
        <w:rPr>
          <w:color w:val="000000" w:themeColor="text1" w:themeTint="FF" w:themeShade="FF"/>
          <w:lang w:eastAsia="en-GB"/>
        </w:rPr>
        <w:t xml:space="preserve"> work more flexibly where their job allows it. It </w:t>
      </w:r>
      <w:r w:rsidRPr="0288C50C" w:rsidR="00FC1CAB">
        <w:rPr>
          <w:color w:val="000000" w:themeColor="text1" w:themeTint="FF" w:themeShade="FF"/>
        </w:rPr>
        <w:t xml:space="preserve">is </w:t>
      </w:r>
      <w:r w:rsidRPr="0288C50C" w:rsidR="00FC1CAB">
        <w:rPr>
          <w:color w:val="000000" w:themeColor="text1" w:themeTint="FF" w:themeShade="FF"/>
        </w:rPr>
        <w:t>not the same as</w:t>
      </w:r>
      <w:r w:rsidRPr="0288C50C" w:rsidR="00FC1CAB">
        <w:rPr>
          <w:color w:val="000000" w:themeColor="text1" w:themeTint="FF" w:themeShade="FF"/>
        </w:rPr>
        <w:t xml:space="preserve"> flexible working and there will be roles that do not lend themselves to dynamic working.</w:t>
      </w:r>
      <w:r w:rsidRPr="0288C50C" w:rsidR="00364712">
        <w:rPr>
          <w:color w:val="000000" w:themeColor="text1" w:themeTint="FF" w:themeShade="FF"/>
        </w:rPr>
        <w:t xml:space="preserve"> Colleagues are reminded of the University’s Dynamic Working Policy and general </w:t>
      </w:r>
      <w:r w:rsidRPr="0288C50C" w:rsidR="00BB4DAD">
        <w:rPr>
          <w:color w:val="000000" w:themeColor="text1" w:themeTint="FF" w:themeShade="FF"/>
        </w:rPr>
        <w:t>adoption.</w:t>
      </w:r>
    </w:p>
    <w:p w:rsidR="5CCDA8AD" w:rsidP="5CCDA8AD" w:rsidRDefault="5CCDA8AD" w14:paraId="717307AC" w14:textId="09BED029">
      <w:pPr>
        <w:pStyle w:val="Normal"/>
        <w:spacing w:beforeAutospacing="on" w:line="240" w:lineRule="auto"/>
        <w:jc w:val="both"/>
        <w:rPr>
          <w:color w:val="000000" w:themeColor="text1" w:themeTint="FF" w:themeShade="FF"/>
        </w:rPr>
      </w:pPr>
    </w:p>
    <w:p w:rsidRPr="00C95344" w:rsidR="008C623D" w:rsidP="00C95344" w:rsidRDefault="00C95344" w14:paraId="3009F741" w14:textId="783B9C42">
      <w:pPr>
        <w:spacing w:before="100" w:beforeAutospacing="1" w:line="240" w:lineRule="auto"/>
        <w:rPr>
          <w:color w:val="000000"/>
          <w:lang w:eastAsia="en-GB"/>
        </w:rPr>
      </w:pPr>
      <w:r>
        <w:rPr>
          <w:color w:val="000000"/>
          <w:lang w:eastAsia="en-GB"/>
        </w:rPr>
        <w:t>Ca</w:t>
      </w:r>
      <w:r w:rsidRPr="008C623D" w:rsidR="008C623D">
        <w:rPr>
          <w:rStyle w:val="normaltextrun"/>
        </w:rPr>
        <w:t>reer</w:t>
      </w:r>
      <w:r w:rsidRPr="00C95344" w:rsidR="008C623D">
        <w:rPr>
          <w:color w:val="000000"/>
        </w:rPr>
        <w:t xml:space="preserve"> Break</w:t>
      </w:r>
      <w:r w:rsidRPr="00C95344" w:rsidR="008C623D">
        <w:rPr>
          <w:rStyle w:val="eop"/>
          <w:rFonts w:eastAsiaTheme="majorEastAsia"/>
          <w:color w:val="D13438"/>
        </w:rPr>
        <w:t> </w:t>
      </w:r>
    </w:p>
    <w:p w:rsidR="00C626FC" w:rsidP="052E7761" w:rsidRDefault="008C623D" w14:paraId="3B5E9265" w14:textId="6E8D7923">
      <w:pPr>
        <w:pStyle w:val="paragraph"/>
        <w:spacing w:before="0" w:beforeAutospacing="off" w:after="0" w:afterAutospacing="off"/>
        <w:jc w:val="both"/>
        <w:textAlignment w:val="baseline"/>
        <w:rPr>
          <w:rStyle w:val="normaltextrun"/>
          <w:rFonts w:ascii="Helvetica" w:hAnsi="Helvetica"/>
          <w:color w:val="D13438"/>
          <w:sz w:val="36"/>
          <w:szCs w:val="36"/>
          <w:u w:val="single"/>
        </w:rPr>
      </w:pPr>
      <w:r w:rsidRPr="052E7761" w:rsidR="008C623D">
        <w:rPr>
          <w:rFonts w:ascii="Arial" w:hAnsi="Arial" w:cs="Arial"/>
          <w:color w:val="000000" w:themeColor="text1" w:themeTint="FF" w:themeShade="FF"/>
          <w:lang w:eastAsia="en-US"/>
        </w:rPr>
        <w:t>A career break is an extended period of unpaid leave from work. The intention is that at some future date, the colleague will return to their substantive post. If a colleague is a member of a pension scheme, before taking the request any further, and at least six months before they wish to start the career break, they must discuss the situation with the University’s Pension’s Manager.</w:t>
      </w:r>
    </w:p>
    <w:p w:rsidR="00C626FC" w:rsidP="00C626FC" w:rsidRDefault="00C626FC" w14:paraId="3E51F055" w14:textId="4E563854">
      <w:pPr>
        <w:pStyle w:val="paragraph"/>
        <w:spacing w:before="0" w:beforeAutospacing="0" w:after="0" w:afterAutospacing="0"/>
        <w:jc w:val="both"/>
        <w:textAlignment w:val="baseline"/>
        <w:rPr>
          <w:rStyle w:val="eop"/>
          <w:rFonts w:ascii="Helvetica" w:hAnsi="Helvetica" w:eastAsiaTheme="majorEastAsia"/>
          <w:color w:val="D13438"/>
          <w:sz w:val="36"/>
          <w:szCs w:val="36"/>
        </w:rPr>
      </w:pPr>
    </w:p>
    <w:p w:rsidRPr="00312A22" w:rsidR="00C626FC" w:rsidP="00C95344" w:rsidRDefault="00C626FC" w14:paraId="5CBBDDC8" w14:textId="6FEA51B4">
      <w:r w:rsidRPr="003B4F4A">
        <w:t>Working Outside the</w:t>
      </w:r>
      <w:r w:rsidRPr="003B4F4A" w:rsidR="00312A22">
        <w:t xml:space="preserve"> </w:t>
      </w:r>
      <w:r w:rsidRPr="003B4F4A">
        <w:t>UK</w:t>
      </w:r>
    </w:p>
    <w:p w:rsidRPr="00C95344" w:rsidR="00164CFF" w:rsidP="00C95344" w:rsidRDefault="00292BBB" w14:paraId="7F165717" w14:textId="4644D1D8">
      <w:pPr>
        <w:jc w:val="both"/>
        <w:rPr>
          <w:b w:val="1"/>
          <w:bCs w:val="1"/>
        </w:rPr>
      </w:pPr>
      <w:r w:rsidR="00292BBB">
        <w:rPr/>
        <w:t xml:space="preserve">Understandably, there are occasionally events in the lives of colleagues that prompt </w:t>
      </w:r>
      <w:r w:rsidR="00D767D8">
        <w:rPr/>
        <w:t>a</w:t>
      </w:r>
      <w:r w:rsidR="00292BBB">
        <w:rPr/>
        <w:t xml:space="preserve"> request a period of living and working abroad (which is distinct from a request to change working pattern which is covered by </w:t>
      </w:r>
      <w:r w:rsidR="00D767D8">
        <w:rPr/>
        <w:t>this</w:t>
      </w:r>
      <w:r w:rsidR="00292BBB">
        <w:rPr/>
        <w:t xml:space="preserve"> </w:t>
      </w:r>
      <w:r w:rsidR="00D767D8">
        <w:rPr/>
        <w:t>F</w:t>
      </w:r>
      <w:r w:rsidR="00292BBB">
        <w:rPr/>
        <w:t xml:space="preserve">lexible </w:t>
      </w:r>
      <w:r w:rsidR="00D767D8">
        <w:rPr/>
        <w:t>W</w:t>
      </w:r>
      <w:r w:rsidR="00292BBB">
        <w:rPr/>
        <w:t xml:space="preserve">orking policy). Where </w:t>
      </w:r>
      <w:r w:rsidR="0093738D">
        <w:rPr/>
        <w:t>colleagues</w:t>
      </w:r>
      <w:r w:rsidR="00292BBB">
        <w:rPr/>
        <w:t xml:space="preserve"> make this request, they and their </w:t>
      </w:r>
      <w:r w:rsidR="0093738D">
        <w:rPr/>
        <w:t>Line M</w:t>
      </w:r>
      <w:r w:rsidR="00292BBB">
        <w:rPr/>
        <w:t xml:space="preserve">anager will </w:t>
      </w:r>
      <w:r w:rsidR="00292BBB">
        <w:rPr/>
        <w:t>be required</w:t>
      </w:r>
      <w:r w:rsidR="00292BBB">
        <w:rPr/>
        <w:t xml:space="preserve"> to follow the policy principles and process set out</w:t>
      </w:r>
      <w:r w:rsidR="006B6999">
        <w:rPr/>
        <w:t xml:space="preserve"> in the Policy for Staff Working Overseas.</w:t>
      </w:r>
    </w:p>
    <w:p w:rsidR="5CCDA8AD" w:rsidP="5CCDA8AD" w:rsidRDefault="5CCDA8AD" w14:paraId="2FCF1BEC" w14:textId="07D25152">
      <w:pPr>
        <w:pStyle w:val="Normal"/>
        <w:jc w:val="both"/>
      </w:pPr>
    </w:p>
    <w:p w:rsidRPr="00C95344" w:rsidR="008C623D" w:rsidP="00C95344" w:rsidRDefault="00C95344" w14:paraId="210E4F4D" w14:textId="4F463923">
      <w:pPr>
        <w:jc w:val="both"/>
        <w:rPr>
          <w:b/>
          <w:bCs/>
        </w:rPr>
      </w:pPr>
      <w:r w:rsidRPr="00C95344">
        <w:rPr>
          <w:rStyle w:val="normaltextrun"/>
          <w:b/>
          <w:bCs/>
        </w:rPr>
        <w:t xml:space="preserve">5 </w:t>
      </w:r>
      <w:r w:rsidRPr="00C95344">
        <w:rPr>
          <w:rStyle w:val="normaltextrun"/>
          <w:b/>
          <w:bCs/>
        </w:rPr>
        <w:tab/>
      </w:r>
      <w:r w:rsidRPr="00C95344" w:rsidR="008C623D">
        <w:rPr>
          <w:b/>
          <w:bCs/>
        </w:rPr>
        <w:t>FLEXIBLE RETIREMENT </w:t>
      </w:r>
    </w:p>
    <w:p w:rsidRPr="00E644AE" w:rsidR="008C623D" w:rsidP="5CCDA8AD" w:rsidRDefault="008C623D" w14:paraId="29E625FF" w14:textId="73746FBC">
      <w:pPr>
        <w:spacing w:after="0" w:afterAutospacing="off" w:line="240" w:lineRule="auto"/>
        <w:jc w:val="both"/>
      </w:pPr>
      <w:r w:rsidR="008C623D">
        <w:rPr/>
        <w:t xml:space="preserve">Flexible retirement is a form of flexible working, </w:t>
      </w:r>
      <w:r w:rsidR="008C623D">
        <w:rPr/>
        <w:t>and </w:t>
      </w:r>
      <w:r w:rsidR="008C623D">
        <w:rPr/>
        <w:t>is</w:t>
      </w:r>
      <w:r w:rsidR="008C623D">
        <w:rPr/>
        <w:t xml:space="preserve"> where a colleague continues to work, but takes a reduction in salary, for example by working reduced hours, in exchange for payment of a </w:t>
      </w:r>
      <w:r w:rsidR="008C623D">
        <w:rPr/>
        <w:t>portion</w:t>
      </w:r>
      <w:r w:rsidR="008C623D">
        <w:rPr/>
        <w:t xml:space="preserve"> of their pension. This mix of work and pension can offer an attractive way of tapering towards an eventual full retirement. </w:t>
      </w:r>
    </w:p>
    <w:p w:rsidRPr="00E644AE" w:rsidR="008C623D" w:rsidP="00C95344" w:rsidRDefault="008C623D" w14:paraId="036947DB" w14:textId="77777777">
      <w:pPr>
        <w:spacing w:after="0" w:afterAutospacing="0" w:line="240" w:lineRule="auto"/>
      </w:pPr>
      <w:r w:rsidRPr="00E644AE">
        <w:t> </w:t>
      </w:r>
    </w:p>
    <w:p w:rsidRPr="00E644AE" w:rsidR="008C623D" w:rsidP="00C95344" w:rsidRDefault="008C623D" w14:paraId="78F651E8" w14:textId="0D27E152">
      <w:pPr>
        <w:spacing w:after="0" w:afterAutospacing="0" w:line="240" w:lineRule="auto"/>
        <w:jc w:val="both"/>
      </w:pPr>
      <w:r w:rsidRPr="00E644AE">
        <w:t xml:space="preserve">If colleagues are considering flexible retirement, </w:t>
      </w:r>
      <w:r w:rsidRPr="00E644AE" w:rsidR="00A00DC2">
        <w:t>they</w:t>
      </w:r>
      <w:r w:rsidRPr="00E644AE">
        <w:t xml:space="preserve"> must:  </w:t>
      </w:r>
    </w:p>
    <w:p w:rsidRPr="00E644AE" w:rsidR="008C623D" w:rsidP="00C95344" w:rsidRDefault="008C623D" w14:paraId="1CB117B6" w14:textId="60FBE02C">
      <w:pPr>
        <w:spacing w:after="0" w:afterAutospacing="0" w:line="240" w:lineRule="auto"/>
        <w:jc w:val="both"/>
      </w:pPr>
      <w:r w:rsidRPr="00E644AE">
        <w:t xml:space="preserve">- obtain further information about the pension scheme </w:t>
      </w:r>
      <w:r w:rsidRPr="00E644AE" w:rsidR="00A00DC2">
        <w:t>they</w:t>
      </w:r>
      <w:r w:rsidRPr="00E644AE">
        <w:t xml:space="preserve"> belong to </w:t>
      </w:r>
      <w:r w:rsidRPr="00E644AE" w:rsidR="00616018">
        <w:t xml:space="preserve">(USS / BUPAS / NEST) </w:t>
      </w:r>
      <w:r w:rsidRPr="00E644AE">
        <w:t>and its flexible / phased retirement provisions by visiting the Pensions website, and  </w:t>
      </w:r>
    </w:p>
    <w:p w:rsidRPr="00E644AE" w:rsidR="008C623D" w:rsidP="00C95344" w:rsidRDefault="008C623D" w14:paraId="50E76048" w14:textId="3BBF868D">
      <w:pPr>
        <w:spacing w:after="0" w:afterAutospacing="0" w:line="240" w:lineRule="auto"/>
        <w:jc w:val="both"/>
      </w:pPr>
      <w:r w:rsidRPr="00E644AE">
        <w:t xml:space="preserve">- check </w:t>
      </w:r>
      <w:r w:rsidRPr="00E644AE" w:rsidR="00A00DC2">
        <w:t>they</w:t>
      </w:r>
      <w:r w:rsidRPr="00E644AE">
        <w:t xml:space="preserve"> meet the eligibility criteria of</w:t>
      </w:r>
      <w:r w:rsidRPr="00E644AE" w:rsidR="00A00DC2">
        <w:t xml:space="preserve"> their</w:t>
      </w:r>
      <w:r w:rsidRPr="00E644AE" w:rsidR="00774FBD">
        <w:t xml:space="preserve"> </w:t>
      </w:r>
      <w:r w:rsidRPr="00E644AE">
        <w:t>scheme.  </w:t>
      </w:r>
    </w:p>
    <w:p w:rsidRPr="00E644AE" w:rsidR="008C623D" w:rsidP="00C95344" w:rsidRDefault="008C623D" w14:paraId="576588B7" w14:textId="77777777">
      <w:pPr>
        <w:spacing w:after="0" w:afterAutospacing="0" w:line="240" w:lineRule="auto"/>
        <w:jc w:val="both"/>
      </w:pPr>
      <w:r w:rsidRPr="00E644AE">
        <w:t> </w:t>
      </w:r>
    </w:p>
    <w:p w:rsidRPr="00E644AE" w:rsidR="008C623D" w:rsidP="00C95344" w:rsidRDefault="008C623D" w14:paraId="6D3AB729" w14:textId="7BB320DC">
      <w:pPr>
        <w:spacing w:after="0" w:afterAutospacing="0" w:line="240" w:lineRule="auto"/>
        <w:jc w:val="both"/>
      </w:pPr>
      <w:r w:rsidRPr="00E644AE">
        <w:t xml:space="preserve">Before taking </w:t>
      </w:r>
      <w:r w:rsidRPr="00E644AE" w:rsidR="00850916">
        <w:t>their</w:t>
      </w:r>
      <w:r w:rsidRPr="00E644AE">
        <w:t xml:space="preserve"> request any further, and at least six months before </w:t>
      </w:r>
      <w:r w:rsidRPr="00E644AE" w:rsidR="00850916">
        <w:t>they</w:t>
      </w:r>
      <w:r w:rsidRPr="00E644AE">
        <w:t xml:space="preserve"> wish to start your flexible retirement, </w:t>
      </w:r>
      <w:r w:rsidRPr="00E644AE" w:rsidR="00850916">
        <w:t>they</w:t>
      </w:r>
      <w:r w:rsidRPr="00E644AE">
        <w:t xml:space="preserve"> must: </w:t>
      </w:r>
    </w:p>
    <w:p w:rsidRPr="00E644AE" w:rsidR="008C623D" w:rsidP="00C95344" w:rsidRDefault="008C623D" w14:paraId="00918234" w14:textId="302F93E4">
      <w:pPr>
        <w:spacing w:after="0" w:afterAutospacing="0" w:line="240" w:lineRule="auto"/>
        <w:jc w:val="both"/>
      </w:pPr>
      <w:r w:rsidRPr="00E644AE">
        <w:t xml:space="preserve"> - speak to </w:t>
      </w:r>
      <w:r w:rsidRPr="00E644AE" w:rsidR="00850916">
        <w:t>their</w:t>
      </w:r>
      <w:r w:rsidRPr="00E644AE">
        <w:t xml:space="preserve"> </w:t>
      </w:r>
      <w:r w:rsidRPr="00E644AE" w:rsidR="00616018">
        <w:t>Line M</w:t>
      </w:r>
      <w:r w:rsidRPr="00E644AE">
        <w:t xml:space="preserve">anager about </w:t>
      </w:r>
      <w:r w:rsidRPr="00E644AE" w:rsidR="00850916">
        <w:t>the</w:t>
      </w:r>
      <w:r w:rsidRPr="00E644AE">
        <w:t xml:space="preserve"> proposed plans and seek their support, and  </w:t>
      </w:r>
    </w:p>
    <w:p w:rsidRPr="00E644AE" w:rsidR="008C623D" w:rsidP="00C95344" w:rsidRDefault="008C623D" w14:paraId="693CC45A" w14:textId="108D0CB1">
      <w:pPr>
        <w:spacing w:after="0" w:afterAutospacing="0" w:line="240" w:lineRule="auto"/>
        <w:jc w:val="both"/>
      </w:pPr>
      <w:r w:rsidRPr="00E644AE">
        <w:t xml:space="preserve">- contact the Pensions Manager and request a formal pension quotation on the basis of </w:t>
      </w:r>
      <w:r w:rsidRPr="00E644AE" w:rsidR="00850916">
        <w:t>their</w:t>
      </w:r>
      <w:r w:rsidRPr="00E644AE">
        <w:t xml:space="preserve"> proposed reduction in hours. </w:t>
      </w:r>
    </w:p>
    <w:p w:rsidRPr="00E644AE" w:rsidR="008B59AD" w:rsidP="00C95344" w:rsidRDefault="008B59AD" w14:paraId="0E2C90FC" w14:textId="07ADB36A">
      <w:pPr>
        <w:spacing w:after="0" w:afterAutospacing="0" w:line="240" w:lineRule="auto"/>
        <w:jc w:val="both"/>
      </w:pPr>
    </w:p>
    <w:p w:rsidRPr="00E644AE" w:rsidR="008B59AD" w:rsidP="00C95344" w:rsidRDefault="008B59AD" w14:paraId="2DC88B87" w14:textId="11BFDAB2">
      <w:pPr>
        <w:spacing w:after="0" w:afterAutospacing="0" w:line="240" w:lineRule="auto"/>
        <w:jc w:val="both"/>
      </w:pPr>
      <w:r w:rsidRPr="00E644AE">
        <w:t>Please note, financial advice on pensions and other matters</w:t>
      </w:r>
      <w:r w:rsidRPr="00E644AE" w:rsidR="00355B74">
        <w:t xml:space="preserve"> should be obtained from an Independent Financial Adviser.</w:t>
      </w:r>
      <w:r w:rsidRPr="00E644AE" w:rsidR="003C5DC4">
        <w:t xml:space="preserve"> The University can only advise on options available and the procedure to be followed.</w:t>
      </w:r>
    </w:p>
    <w:p w:rsidRPr="00E644AE" w:rsidR="0002290A" w:rsidP="00C95344" w:rsidRDefault="0002290A" w14:paraId="0835A2DA" w14:textId="77777777">
      <w:pPr>
        <w:spacing w:after="0" w:afterAutospacing="0" w:line="240" w:lineRule="auto"/>
        <w:jc w:val="both"/>
      </w:pPr>
    </w:p>
    <w:p w:rsidR="008C623D" w:rsidP="00C95344" w:rsidRDefault="00394ADD" w14:paraId="5B45AB21" w14:textId="01EA4143">
      <w:pPr>
        <w:spacing w:after="0" w:afterAutospacing="0" w:line="240" w:lineRule="auto"/>
        <w:jc w:val="both"/>
      </w:pPr>
      <w:r>
        <w:t>Should a</w:t>
      </w:r>
      <w:r w:rsidR="00741108">
        <w:t xml:space="preserve"> colleague </w:t>
      </w:r>
      <w:r>
        <w:t xml:space="preserve">hold a </w:t>
      </w:r>
      <w:r w:rsidR="00741108">
        <w:t xml:space="preserve">work </w:t>
      </w:r>
      <w:r>
        <w:t>visa</w:t>
      </w:r>
      <w:r w:rsidR="0002290A">
        <w:t xml:space="preserve"> a change in hours or role</w:t>
      </w:r>
      <w:r w:rsidR="0008179E">
        <w:t xml:space="preserve"> may require a fresh application for a work visa to be made. Tier 2 / Skilled work visa holders who are </w:t>
      </w:r>
      <w:r w:rsidR="0051603D">
        <w:t>considering flexible retirement must consult</w:t>
      </w:r>
      <w:r>
        <w:t xml:space="preserve"> the Human Resources Office at the earliest opportunity</w:t>
      </w:r>
      <w:r w:rsidR="00394CE2">
        <w:t>.</w:t>
      </w:r>
    </w:p>
    <w:p w:rsidRPr="00E644AE" w:rsidR="00E644AE" w:rsidP="00C95344" w:rsidRDefault="00E644AE" w14:paraId="12D6587F" w14:textId="77777777">
      <w:pPr>
        <w:spacing w:after="0" w:afterAutospacing="0" w:line="240" w:lineRule="auto"/>
        <w:jc w:val="both"/>
      </w:pPr>
    </w:p>
    <w:p w:rsidR="00164CFF" w:rsidP="00C95344" w:rsidRDefault="008C623D" w14:paraId="1159D24A" w14:textId="1B0B85D6">
      <w:pPr>
        <w:spacing w:after="0" w:afterAutospacing="0" w:line="240" w:lineRule="auto"/>
        <w:jc w:val="both"/>
      </w:pPr>
      <w:r w:rsidRPr="00E644AE">
        <w:t>Once</w:t>
      </w:r>
      <w:r w:rsidRPr="00E644AE" w:rsidR="00850916">
        <w:t xml:space="preserve"> colleagues</w:t>
      </w:r>
      <w:r w:rsidRPr="00E644AE">
        <w:t xml:space="preserve"> have the information </w:t>
      </w:r>
      <w:r w:rsidRPr="00E644AE" w:rsidR="00850916">
        <w:t>they</w:t>
      </w:r>
      <w:r w:rsidRPr="00E644AE">
        <w:t xml:space="preserve"> </w:t>
      </w:r>
      <w:r w:rsidRPr="00E644AE" w:rsidR="00E644AE">
        <w:t>need,</w:t>
      </w:r>
      <w:r w:rsidRPr="00E644AE">
        <w:t xml:space="preserve"> and </w:t>
      </w:r>
      <w:r w:rsidRPr="00E644AE" w:rsidR="00850916">
        <w:t>they</w:t>
      </w:r>
      <w:r w:rsidRPr="00E644AE">
        <w:t xml:space="preserve"> wish to proceed </w:t>
      </w:r>
      <w:r w:rsidRPr="00E644AE" w:rsidR="00850916">
        <w:t>they</w:t>
      </w:r>
      <w:r w:rsidRPr="00E644AE">
        <w:t xml:space="preserve"> must complete the Flexible Working Application </w:t>
      </w:r>
      <w:r w:rsidRPr="00E644AE" w:rsidR="00616018">
        <w:t>in iTrent.</w:t>
      </w:r>
      <w:r w:rsidRPr="00E644AE" w:rsidR="00800E2D">
        <w:t xml:space="preserve"> The Pensions Manager will progress the notification with the relevant pension scheme.</w:t>
      </w:r>
    </w:p>
    <w:p w:rsidR="00C95344" w:rsidP="00C95344" w:rsidRDefault="00C95344" w14:paraId="241A31A5" w14:textId="77777777">
      <w:pPr>
        <w:spacing w:after="0" w:afterAutospacing="0" w:line="240" w:lineRule="auto"/>
      </w:pPr>
    </w:p>
    <w:p w:rsidRPr="00182BEB" w:rsidR="0061628A" w:rsidP="00273029" w:rsidRDefault="00C95344" w14:paraId="53112E56" w14:textId="25D554BF">
      <w:pPr>
        <w:pStyle w:val="Heading1"/>
      </w:pPr>
      <w:bookmarkStart w:name="_Toc69915633" w:id="4"/>
      <w:r>
        <w:t>6</w:t>
      </w:r>
      <w:r w:rsidRPr="00182BEB" w:rsidR="0061628A">
        <w:tab/>
      </w:r>
      <w:r w:rsidRPr="00182BEB" w:rsidR="0061628A">
        <w:t>TRIAL PERIODS</w:t>
      </w:r>
      <w:bookmarkEnd w:id="4"/>
    </w:p>
    <w:p w:rsidRPr="00273029" w:rsidR="00164CFF" w:rsidP="00C95344" w:rsidRDefault="00004924" w14:paraId="3798845F" w14:textId="62D9F1AE">
      <w:pPr>
        <w:jc w:val="both"/>
      </w:pPr>
      <w:r w:rsidR="00004924">
        <w:rPr/>
        <w:t xml:space="preserve">Trial periods will be on the basis that they are short term, not normally extending beyond </w:t>
      </w:r>
      <w:r w:rsidR="00164CFF">
        <w:rPr/>
        <w:t xml:space="preserve">12 </w:t>
      </w:r>
      <w:r w:rsidR="00004924">
        <w:rPr/>
        <w:t>months.</w:t>
      </w:r>
      <w:r w:rsidR="00164CFF">
        <w:rPr/>
        <w:t xml:space="preserve"> </w:t>
      </w:r>
      <w:r w:rsidR="00616018">
        <w:rPr/>
        <w:t xml:space="preserve">The Line Manager will receive notification in advance of the trial period ending to </w:t>
      </w:r>
      <w:r w:rsidR="00616018">
        <w:rPr/>
        <w:t>ascertain</w:t>
      </w:r>
      <w:r w:rsidR="00616018">
        <w:rPr/>
        <w:t xml:space="preserve"> whether the arrangement is to be confirmed on a permanent basis, extended for a further </w:t>
      </w:r>
      <w:r w:rsidR="00616018">
        <w:rPr/>
        <w:t>period of time</w:t>
      </w:r>
      <w:r w:rsidR="00616018">
        <w:rPr/>
        <w:t>, or whether the colleague is to</w:t>
      </w:r>
      <w:r w:rsidR="0077291E">
        <w:rPr/>
        <w:t xml:space="preserve"> revert to their </w:t>
      </w:r>
      <w:r w:rsidR="0077291E">
        <w:rPr/>
        <w:t>previous</w:t>
      </w:r>
      <w:r w:rsidR="0077291E">
        <w:rPr/>
        <w:t xml:space="preserve"> working arrangements</w:t>
      </w:r>
      <w:r w:rsidR="0077291E">
        <w:rPr/>
        <w:t xml:space="preserve">. </w:t>
      </w:r>
      <w:r w:rsidR="00616018">
        <w:rPr/>
        <w:t xml:space="preserve">Once confirmed, Human Resources will issue </w:t>
      </w:r>
      <w:r w:rsidR="00616018">
        <w:rPr/>
        <w:t>appropriate documentation</w:t>
      </w:r>
      <w:r w:rsidR="00616018">
        <w:rPr/>
        <w:t xml:space="preserve"> to confirm the outcome and the </w:t>
      </w:r>
      <w:r w:rsidR="00616018">
        <w:rPr/>
        <w:t>Payroll</w:t>
      </w:r>
      <w:r w:rsidR="00616018">
        <w:rPr/>
        <w:t xml:space="preserve"> department will also be informed.</w:t>
      </w:r>
    </w:p>
    <w:p w:rsidR="5CCDA8AD" w:rsidP="5CCDA8AD" w:rsidRDefault="5CCDA8AD" w14:paraId="4D172EDF" w14:textId="46BF38F3">
      <w:pPr>
        <w:pStyle w:val="Normal"/>
        <w:jc w:val="both"/>
      </w:pPr>
    </w:p>
    <w:p w:rsidR="00004924" w:rsidP="00004924" w:rsidRDefault="00C95344" w14:paraId="711AEF73" w14:textId="7D1E9417">
      <w:pPr>
        <w:pStyle w:val="Heading1"/>
      </w:pPr>
      <w:bookmarkStart w:name="_Toc69915634" w:id="5"/>
      <w:r w:rsidR="00C95344">
        <w:rPr/>
        <w:t>7</w:t>
      </w:r>
      <w:r>
        <w:tab/>
      </w:r>
      <w:r w:rsidR="00004924">
        <w:rPr/>
        <w:t>REACHING A DECISION</w:t>
      </w:r>
      <w:bookmarkEnd w:id="5"/>
    </w:p>
    <w:p w:rsidR="30A4938C" w:rsidRDefault="30A4938C" w14:paraId="586FA63D" w14:textId="4CD1506A">
      <w:pPr/>
      <w:r w:rsidR="30A4938C">
        <w:rPr/>
        <w:t xml:space="preserve">If a Line Manager is unable to accommodate the request for </w:t>
      </w:r>
      <w:r w:rsidR="30A4938C">
        <w:rPr/>
        <w:t>flexible</w:t>
      </w:r>
      <w:r w:rsidR="30A4938C">
        <w:rPr/>
        <w:t xml:space="preserve"> working, </w:t>
      </w:r>
      <w:r w:rsidR="30A4938C">
        <w:rPr/>
        <w:t>they must consult with the employee</w:t>
      </w:r>
      <w:r w:rsidR="03AE0B7F">
        <w:rPr/>
        <w:t xml:space="preserve"> who made the request to discuss alternative arrangements.</w:t>
      </w:r>
    </w:p>
    <w:p w:rsidR="5CCDA8AD" w:rsidRDefault="5CCDA8AD" w14:paraId="5E4DF021" w14:textId="0E79A46D">
      <w:pPr/>
    </w:p>
    <w:p w:rsidR="00004924" w:rsidP="00004924" w:rsidRDefault="00164CFF" w14:paraId="711BA0DD" w14:textId="3301E920">
      <w:r>
        <w:t>A request for flexible working</w:t>
      </w:r>
      <w:r w:rsidR="00004924">
        <w:t xml:space="preserve"> may only be declined on the basis of one or more of the following reasons: </w:t>
      </w:r>
    </w:p>
    <w:p w:rsidR="00004924" w:rsidP="00004924" w:rsidRDefault="00004924" w14:paraId="4BF7266F" w14:textId="77777777">
      <w:pPr>
        <w:pStyle w:val="ListParagraph"/>
        <w:numPr>
          <w:ilvl w:val="0"/>
          <w:numId w:val="7"/>
        </w:numPr>
      </w:pPr>
      <w:r>
        <w:t>The burden of additional costs;</w:t>
      </w:r>
    </w:p>
    <w:p w:rsidR="00004924" w:rsidP="00004924" w:rsidRDefault="00004924" w14:paraId="638A5CBE" w14:textId="77777777">
      <w:pPr>
        <w:pStyle w:val="ListParagraph"/>
        <w:numPr>
          <w:ilvl w:val="0"/>
          <w:numId w:val="7"/>
        </w:numPr>
      </w:pPr>
      <w:r>
        <w:t>Detrimental effect on the ability to meet customer demand;</w:t>
      </w:r>
    </w:p>
    <w:p w:rsidR="00004924" w:rsidP="00004924" w:rsidRDefault="00004924" w14:paraId="4E14DEDB" w14:textId="77777777">
      <w:pPr>
        <w:pStyle w:val="ListParagraph"/>
        <w:numPr>
          <w:ilvl w:val="0"/>
          <w:numId w:val="7"/>
        </w:numPr>
      </w:pPr>
      <w:r>
        <w:t>Inability to re-organise work amongst existing staff;</w:t>
      </w:r>
    </w:p>
    <w:p w:rsidR="00004924" w:rsidP="00004924" w:rsidRDefault="00004924" w14:paraId="11B65EBD" w14:textId="77777777">
      <w:pPr>
        <w:pStyle w:val="ListParagraph"/>
        <w:numPr>
          <w:ilvl w:val="0"/>
          <w:numId w:val="7"/>
        </w:numPr>
      </w:pPr>
      <w:r>
        <w:t>Inability to recruit additional staff;</w:t>
      </w:r>
    </w:p>
    <w:p w:rsidR="00004924" w:rsidP="00004924" w:rsidRDefault="00004924" w14:paraId="1C5D30B6" w14:textId="77777777">
      <w:pPr>
        <w:pStyle w:val="ListParagraph"/>
        <w:numPr>
          <w:ilvl w:val="0"/>
          <w:numId w:val="7"/>
        </w:numPr>
      </w:pPr>
      <w:r>
        <w:t>Detrimental impact on quality;</w:t>
      </w:r>
    </w:p>
    <w:p w:rsidR="00004924" w:rsidP="00004924" w:rsidRDefault="00004924" w14:paraId="3E226480" w14:textId="77777777">
      <w:pPr>
        <w:pStyle w:val="ListParagraph"/>
        <w:numPr>
          <w:ilvl w:val="0"/>
          <w:numId w:val="7"/>
        </w:numPr>
      </w:pPr>
      <w:r>
        <w:t>Detrimental impact on performance;</w:t>
      </w:r>
    </w:p>
    <w:p w:rsidR="00004924" w:rsidP="00004924" w:rsidRDefault="00004924" w14:paraId="487646AF" w14:textId="654FF648">
      <w:pPr>
        <w:pStyle w:val="ListParagraph"/>
        <w:numPr>
          <w:ilvl w:val="0"/>
          <w:numId w:val="7"/>
        </w:numPr>
      </w:pPr>
      <w:r>
        <w:t xml:space="preserve">Insufficiency of work during the periods </w:t>
      </w:r>
      <w:r w:rsidR="00AE5375">
        <w:t xml:space="preserve">they </w:t>
      </w:r>
      <w:r>
        <w:t>propose to work;</w:t>
      </w:r>
    </w:p>
    <w:p w:rsidR="00616018" w:rsidP="00616018" w:rsidRDefault="00004924" w14:paraId="38268060" w14:textId="699CB1A3">
      <w:pPr>
        <w:pStyle w:val="ListParagraph"/>
        <w:numPr>
          <w:ilvl w:val="0"/>
          <w:numId w:val="7"/>
        </w:numPr>
        <w:rPr/>
      </w:pPr>
      <w:r w:rsidR="00004924">
        <w:rPr/>
        <w:t>Planned structural changes</w:t>
      </w:r>
      <w:r w:rsidR="4DAF117B">
        <w:rPr/>
        <w:t>.</w:t>
      </w:r>
    </w:p>
    <w:p w:rsidR="5CCDA8AD" w:rsidP="0288C50C" w:rsidRDefault="5CCDA8AD" w14:paraId="7DC4035A" w14:textId="4269D2B6">
      <w:pPr>
        <w:pStyle w:val="Normal"/>
        <w:ind w:left="0"/>
        <w:rPr>
          <w:sz w:val="24"/>
          <w:szCs w:val="24"/>
        </w:rPr>
      </w:pPr>
    </w:p>
    <w:p w:rsidR="00616018" w:rsidP="00C95344" w:rsidRDefault="00616018" w14:paraId="6030DE78" w14:textId="3445D640">
      <w:pPr>
        <w:jc w:val="both"/>
      </w:pPr>
      <w:r w:rsidR="00616018">
        <w:rPr/>
        <w:t>The </w:t>
      </w:r>
      <w:hyperlink r:id="Rc6ad512a93854f76">
        <w:r w:rsidR="00616018">
          <w:rPr/>
          <w:t>ACAS guidelines</w:t>
        </w:r>
      </w:hyperlink>
      <w:r w:rsidR="00CC2169">
        <w:rPr/>
        <w:t>(</w:t>
      </w:r>
      <w:hyperlink r:id="Rede0e5832f084d87">
        <w:r w:rsidR="00CC2169">
          <w:rPr/>
          <w:t>https://www.acas.org.uk/flexible-working</w:t>
        </w:r>
      </w:hyperlink>
      <w:r w:rsidR="00CC2169">
        <w:rPr/>
        <w:t xml:space="preserve">) </w:t>
      </w:r>
      <w:r w:rsidR="00616018">
        <w:rPr/>
        <w:t> provide further information on the reasons that a refusal may be given under the current legislation. </w:t>
      </w:r>
    </w:p>
    <w:p w:rsidR="5CCDA8AD" w:rsidP="5CCDA8AD" w:rsidRDefault="5CCDA8AD" w14:paraId="6891318C" w14:textId="6E6CDB5E">
      <w:pPr>
        <w:pStyle w:val="Normal"/>
        <w:jc w:val="both"/>
      </w:pPr>
    </w:p>
    <w:p w:rsidR="00004924" w:rsidP="00004924" w:rsidRDefault="00C95344" w14:paraId="375ABDC8" w14:textId="7B7A87A5">
      <w:pPr>
        <w:pStyle w:val="Heading1"/>
      </w:pPr>
      <w:bookmarkStart w:name="_Toc69915635" w:id="6"/>
      <w:r>
        <w:t>8</w:t>
      </w:r>
      <w:r w:rsidR="00004924">
        <w:tab/>
      </w:r>
      <w:r w:rsidR="00004924">
        <w:t>APPEALS</w:t>
      </w:r>
      <w:bookmarkEnd w:id="6"/>
    </w:p>
    <w:p w:rsidRPr="00C95344" w:rsidR="00616018" w:rsidP="00C95344" w:rsidRDefault="00616018" w14:paraId="74814345" w14:textId="11F7396F">
      <w:pPr>
        <w:pStyle w:val="paragraph"/>
        <w:spacing w:before="0" w:beforeAutospacing="0" w:after="0" w:afterAutospacing="0"/>
        <w:jc w:val="both"/>
        <w:textAlignment w:val="baseline"/>
        <w:rPr>
          <w:rStyle w:val="normaltextrun"/>
          <w:rFonts w:ascii="Arial" w:hAnsi="Arial" w:cs="Arial"/>
        </w:rPr>
      </w:pPr>
      <w:r w:rsidRPr="00C95344">
        <w:rPr>
          <w:rStyle w:val="normaltextrun"/>
          <w:rFonts w:ascii="Arial" w:hAnsi="Arial" w:cs="Arial"/>
        </w:rPr>
        <w:t xml:space="preserve">In circumstances where a statutory request is refused or amended, the colleague will be informed of their right of appeal. An appeal should be made in writing to the Chief People Officer, stating the grounds of appeal, within 14 days of being informed of the decision. </w:t>
      </w:r>
    </w:p>
    <w:p w:rsidRPr="00C95344" w:rsidR="00616018" w:rsidP="00C95344" w:rsidRDefault="00616018" w14:paraId="3C336F3C" w14:textId="77777777">
      <w:pPr>
        <w:pStyle w:val="paragraph"/>
        <w:spacing w:before="0" w:beforeAutospacing="0" w:after="0" w:afterAutospacing="0"/>
        <w:jc w:val="both"/>
        <w:textAlignment w:val="baseline"/>
        <w:rPr>
          <w:rStyle w:val="normaltextrun"/>
          <w:rFonts w:ascii="Arial" w:hAnsi="Arial" w:cs="Arial"/>
        </w:rPr>
      </w:pPr>
    </w:p>
    <w:p w:rsidRPr="00C95344" w:rsidR="00616018" w:rsidP="5CCDA8AD" w:rsidRDefault="00616018" w14:paraId="69BFA919" w14:textId="6EA11000">
      <w:pPr>
        <w:pStyle w:val="paragraph"/>
        <w:spacing w:before="0" w:beforeAutospacing="off" w:after="0" w:afterAutospacing="off"/>
        <w:jc w:val="both"/>
        <w:textAlignment w:val="baseline"/>
        <w:rPr>
          <w:rStyle w:val="normaltextrun"/>
        </w:rPr>
      </w:pPr>
      <w:r w:rsidRPr="0288C50C" w:rsidR="00616018">
        <w:rPr>
          <w:rStyle w:val="normaltextrun"/>
          <w:rFonts w:ascii="Arial" w:hAnsi="Arial" w:cs="Arial"/>
        </w:rPr>
        <w:t xml:space="preserve">The appeal must set out the grounds under which the colleague is making the </w:t>
      </w:r>
      <w:r w:rsidRPr="0288C50C" w:rsidR="2150F30E">
        <w:rPr>
          <w:rStyle w:val="normaltextrun"/>
          <w:rFonts w:ascii="Arial" w:hAnsi="Arial" w:cs="Arial"/>
        </w:rPr>
        <w:t>a</w:t>
      </w:r>
      <w:r w:rsidRPr="0288C50C" w:rsidR="2150F30E">
        <w:rPr>
          <w:rStyle w:val="normaltextrun"/>
          <w:rFonts w:ascii="Arial" w:hAnsi="Arial" w:cs="Arial"/>
        </w:rPr>
        <w:t>ppeal,</w:t>
      </w:r>
      <w:r w:rsidRPr="0288C50C" w:rsidR="00616018">
        <w:rPr>
          <w:rStyle w:val="normaltextrun"/>
          <w:rFonts w:ascii="Arial" w:hAnsi="Arial" w:cs="Arial"/>
        </w:rPr>
        <w:t xml:space="preserve"> and the correspondence must be dated.</w:t>
      </w:r>
      <w:r w:rsidRPr="0288C50C" w:rsidR="00616018">
        <w:rPr>
          <w:rStyle w:val="normaltextrun"/>
        </w:rPr>
        <w:t> </w:t>
      </w:r>
    </w:p>
    <w:p w:rsidRPr="00C95344" w:rsidR="00616018" w:rsidP="00C95344" w:rsidRDefault="00616018" w14:paraId="65C50686" w14:textId="77777777">
      <w:pPr>
        <w:pStyle w:val="paragraph"/>
        <w:spacing w:before="0" w:beforeAutospacing="0" w:after="0" w:afterAutospacing="0"/>
        <w:jc w:val="both"/>
        <w:textAlignment w:val="baseline"/>
        <w:rPr>
          <w:rStyle w:val="normaltextrun"/>
          <w:rFonts w:ascii="Arial" w:hAnsi="Arial" w:cs="Arial"/>
        </w:rPr>
      </w:pPr>
    </w:p>
    <w:p w:rsidRPr="00C95344" w:rsidR="00616018" w:rsidP="00C95344" w:rsidRDefault="00616018" w14:paraId="78C716B8" w14:textId="07B7338C">
      <w:pPr>
        <w:pStyle w:val="paragraph"/>
        <w:spacing w:before="0" w:beforeAutospacing="0" w:after="0" w:afterAutospacing="0"/>
        <w:jc w:val="both"/>
        <w:textAlignment w:val="baseline"/>
        <w:rPr>
          <w:rStyle w:val="normaltextrun"/>
        </w:rPr>
      </w:pPr>
      <w:r w:rsidRPr="00C95344">
        <w:rPr>
          <w:rStyle w:val="normaltextrun"/>
          <w:rFonts w:ascii="Arial" w:hAnsi="Arial" w:cs="Arial"/>
        </w:rPr>
        <w:t xml:space="preserve">The appeal will be considered by the Chief People Officer (or </w:t>
      </w:r>
      <w:r w:rsidRPr="005B6C32" w:rsidR="005B6C32">
        <w:rPr>
          <w:rStyle w:val="normaltextrun"/>
          <w:rFonts w:ascii="Arial" w:hAnsi="Arial" w:cs="Arial"/>
        </w:rPr>
        <w:t>their</w:t>
      </w:r>
      <w:r w:rsidRPr="00C95344">
        <w:rPr>
          <w:rStyle w:val="normaltextrun"/>
          <w:rFonts w:ascii="Arial" w:hAnsi="Arial" w:cs="Arial"/>
        </w:rPr>
        <w:t xml:space="preserve"> nominee) and a nominated Director or Head of College / Department having no previous involvement in the case, having received the evidence in support of the appeal.</w:t>
      </w:r>
      <w:r w:rsidRPr="00C95344">
        <w:rPr>
          <w:rStyle w:val="normaltextrun"/>
        </w:rPr>
        <w:t> </w:t>
      </w:r>
    </w:p>
    <w:p w:rsidRPr="00C95344" w:rsidR="00616018" w:rsidP="00C95344" w:rsidRDefault="00616018" w14:paraId="4FC11DEE" w14:textId="77777777">
      <w:pPr>
        <w:pStyle w:val="paragraph"/>
        <w:spacing w:before="0" w:beforeAutospacing="0" w:after="0" w:afterAutospacing="0"/>
        <w:jc w:val="both"/>
        <w:textAlignment w:val="baseline"/>
        <w:rPr>
          <w:rStyle w:val="normaltextrun"/>
          <w:rFonts w:ascii="Arial" w:hAnsi="Arial" w:cs="Arial"/>
        </w:rPr>
      </w:pPr>
    </w:p>
    <w:p w:rsidRPr="00C95344" w:rsidR="00616018" w:rsidP="00C95344" w:rsidRDefault="00616018" w14:paraId="37A8110E" w14:textId="4CCBC5A0">
      <w:pPr>
        <w:pStyle w:val="paragraph"/>
        <w:spacing w:before="0" w:beforeAutospacing="0" w:after="0" w:afterAutospacing="0"/>
        <w:jc w:val="both"/>
        <w:textAlignment w:val="baseline"/>
        <w:rPr>
          <w:rStyle w:val="normaltextrun"/>
          <w:rFonts w:ascii="Arial" w:hAnsi="Arial" w:cs="Arial"/>
        </w:rPr>
      </w:pPr>
      <w:r w:rsidRPr="00C95344">
        <w:rPr>
          <w:rStyle w:val="normaltextrun"/>
          <w:rFonts w:ascii="Arial" w:hAnsi="Arial" w:cs="Arial"/>
        </w:rPr>
        <w:t xml:space="preserve">If the appeal is from a member of the Human Resources Department, the appeal will be considered by </w:t>
      </w:r>
      <w:r w:rsidRPr="00C95344" w:rsidR="004A0DE9">
        <w:rPr>
          <w:rStyle w:val="normaltextrun"/>
          <w:rFonts w:ascii="Arial" w:hAnsi="Arial" w:cs="Arial"/>
        </w:rPr>
        <w:t>a</w:t>
      </w:r>
      <w:r w:rsidRPr="00C95344">
        <w:rPr>
          <w:rStyle w:val="normaltextrun"/>
          <w:rFonts w:ascii="Arial" w:hAnsi="Arial" w:cs="Arial"/>
        </w:rPr>
        <w:t xml:space="preserve"> Pro-Vice Chancellor (or their nominee) and a nominated Director or Dean of College.</w:t>
      </w:r>
      <w:r w:rsidRPr="00C95344">
        <w:rPr>
          <w:rStyle w:val="normaltextrun"/>
        </w:rPr>
        <w:t> </w:t>
      </w:r>
      <w:r w:rsidRPr="00C95344">
        <w:rPr>
          <w:rStyle w:val="normaltextrun"/>
          <w:rFonts w:ascii="Arial" w:hAnsi="Arial" w:cs="Arial"/>
        </w:rPr>
        <w:t>The appeal will be a desk top exercise where all the paperwork and processes followed will be considered.</w:t>
      </w:r>
      <w:r w:rsidRPr="00C95344">
        <w:rPr>
          <w:rStyle w:val="normaltextrun"/>
        </w:rPr>
        <w:t> </w:t>
      </w:r>
    </w:p>
    <w:p w:rsidRPr="00C95344" w:rsidR="00616018" w:rsidP="00C95344" w:rsidRDefault="00616018" w14:paraId="04AF1056" w14:textId="77777777">
      <w:pPr>
        <w:pStyle w:val="paragraph"/>
        <w:spacing w:before="0" w:beforeAutospacing="0" w:after="0" w:afterAutospacing="0"/>
        <w:jc w:val="both"/>
        <w:textAlignment w:val="baseline"/>
        <w:rPr>
          <w:rStyle w:val="normaltextrun"/>
          <w:rFonts w:ascii="Arial" w:hAnsi="Arial" w:cs="Arial"/>
        </w:rPr>
      </w:pPr>
    </w:p>
    <w:p w:rsidRPr="00C95344" w:rsidR="00616018" w:rsidP="005B6C32" w:rsidRDefault="00616018" w14:paraId="45A32432" w14:textId="77777777">
      <w:pPr>
        <w:pStyle w:val="paragraph"/>
        <w:spacing w:before="0" w:beforeAutospacing="0" w:after="0" w:afterAutospacing="0"/>
        <w:jc w:val="both"/>
        <w:textAlignment w:val="baseline"/>
        <w:rPr>
          <w:rStyle w:val="normaltextrun"/>
          <w:rFonts w:ascii="Arial" w:hAnsi="Arial" w:cs="Arial"/>
        </w:rPr>
      </w:pPr>
      <w:r w:rsidRPr="00C95344">
        <w:rPr>
          <w:rStyle w:val="normaltextrun"/>
          <w:rFonts w:ascii="Arial" w:hAnsi="Arial" w:cs="Arial"/>
        </w:rPr>
        <w:t>The outcome of the appeal</w:t>
      </w:r>
    </w:p>
    <w:p w:rsidR="00004924" w:rsidP="00C95344" w:rsidRDefault="00004924" w14:paraId="452ED01B" w14:textId="1F5B9A1D">
      <w:pPr>
        <w:jc w:val="both"/>
      </w:pPr>
      <w:r w:rsidRPr="00805F9B">
        <w:rPr>
          <w:i/>
        </w:rPr>
        <w:t>If the appeal is upheld –</w:t>
      </w:r>
      <w:r>
        <w:t xml:space="preserve"> the written decision will include a description of </w:t>
      </w:r>
      <w:r w:rsidR="00476513">
        <w:t xml:space="preserve">the colleague’s </w:t>
      </w:r>
      <w:r>
        <w:t>new working pattern and the date from which it will take effect.</w:t>
      </w:r>
    </w:p>
    <w:p w:rsidR="00004924" w:rsidP="00C95344" w:rsidRDefault="00004924" w14:paraId="2FF262C4" w14:textId="1DECE4B7">
      <w:pPr>
        <w:jc w:val="both"/>
      </w:pPr>
      <w:r w:rsidRPr="0288C50C" w:rsidR="00004924">
        <w:rPr>
          <w:i w:val="1"/>
          <w:iCs w:val="1"/>
        </w:rPr>
        <w:t>If the appeal is dismissed –</w:t>
      </w:r>
      <w:r w:rsidR="00004924">
        <w:rPr/>
        <w:t xml:space="preserve"> the written decision will </w:t>
      </w:r>
      <w:r w:rsidR="020BEB54">
        <w:rPr/>
        <w:t>state</w:t>
      </w:r>
      <w:r w:rsidR="00004924">
        <w:rPr/>
        <w:t xml:space="preserve"> the grounds for the </w:t>
      </w:r>
      <w:r w:rsidR="7FB4E647">
        <w:rPr/>
        <w:t>decision and</w:t>
      </w:r>
      <w:r w:rsidR="00004924">
        <w:rPr/>
        <w:t xml:space="preserve"> will provide an explanation as to why the grounds for refusal apply in the circumstances.</w:t>
      </w:r>
      <w:r w:rsidR="00476513">
        <w:rPr/>
        <w:t xml:space="preserve"> </w:t>
      </w:r>
      <w:r w:rsidR="5CB5721C">
        <w:rPr/>
        <w:t xml:space="preserve">Employees are entitled to make two requests for flexible working per 12-month period, however, the employee </w:t>
      </w:r>
      <w:r w:rsidR="5741D684">
        <w:rPr/>
        <w:t xml:space="preserve">must wait until </w:t>
      </w:r>
      <w:r w:rsidR="099DC110">
        <w:rPr/>
        <w:t>6</w:t>
      </w:r>
      <w:r w:rsidR="5741D684">
        <w:rPr/>
        <w:t xml:space="preserve"> months</w:t>
      </w:r>
      <w:r w:rsidR="5741D684">
        <w:rPr/>
        <w:t xml:space="preserve"> have elapsed before making a </w:t>
      </w:r>
      <w:r w:rsidR="5741D684">
        <w:rPr/>
        <w:t>request of the sa</w:t>
      </w:r>
      <w:r w:rsidR="4516779C">
        <w:rPr/>
        <w:t>me kind</w:t>
      </w:r>
      <w:r w:rsidR="4FAB4DDB">
        <w:rPr/>
        <w:t xml:space="preserve"> that has been refused.</w:t>
      </w:r>
    </w:p>
    <w:p w:rsidR="005B6C32" w:rsidP="00C95344" w:rsidRDefault="00004924" w14:paraId="41A05262" w14:textId="77777777">
      <w:pPr>
        <w:pStyle w:val="Heading1"/>
        <w:jc w:val="both"/>
        <w:rPr>
          <w:b w:val="0"/>
          <w:bCs w:val="0"/>
        </w:rPr>
      </w:pPr>
      <w:r w:rsidRPr="00C95344">
        <w:rPr>
          <w:b w:val="0"/>
          <w:bCs w:val="0"/>
        </w:rPr>
        <w:t>A written notice of the appeal outcome constitutes the University’s final decision and is effectively the end of the internal formal procedure.</w:t>
      </w:r>
      <w:bookmarkStart w:name="_Toc69915636" w:id="7"/>
    </w:p>
    <w:p w:rsidRPr="00127813" w:rsidR="001D0D77" w:rsidP="0040069E" w:rsidRDefault="00C95344" w14:paraId="328644BF" w14:textId="0D387391">
      <w:pPr>
        <w:pStyle w:val="Heading1"/>
      </w:pPr>
      <w:r>
        <w:t>9</w:t>
      </w:r>
      <w:r w:rsidRPr="00127813" w:rsidR="001D0D77">
        <w:tab/>
      </w:r>
      <w:r w:rsidRPr="00127813" w:rsidR="001D0D77">
        <w:t>POLICY REVIEW</w:t>
      </w:r>
      <w:bookmarkEnd w:id="7"/>
    </w:p>
    <w:p w:rsidRPr="00C95344" w:rsidR="00164CFF" w:rsidP="00C95344" w:rsidRDefault="003A664F" w14:paraId="291D9759" w14:textId="5E030D92">
      <w:pPr>
        <w:pStyle w:val="Heading1"/>
        <w:jc w:val="both"/>
        <w:rPr>
          <w:b w:val="0"/>
          <w:bCs w:val="0"/>
        </w:rPr>
      </w:pPr>
      <w:r w:rsidRPr="00C95344">
        <w:rPr>
          <w:b w:val="0"/>
          <w:bCs w:val="0"/>
        </w:rPr>
        <w:t>This Policy and Procedure will be reviewed at regular intervals of not less than three years and will at all times be read and applied subject to the general law. All reviews will be undertaken in consultation with the recognised campus Trade Unions and any changes agreed with them, prior to approval from the University Council. This policy has been equality impact assessed prior to its implementation. </w:t>
      </w:r>
    </w:p>
    <w:p w:rsidRPr="00C24481" w:rsidR="00AC6577" w:rsidP="00182BEB" w:rsidRDefault="00AC6577" w14:paraId="42481F86" w14:textId="789892FA">
      <w:pPr>
        <w:spacing w:after="160" w:afterAutospacing="0" w:line="259" w:lineRule="auto"/>
      </w:pPr>
    </w:p>
    <w:sectPr w:rsidRPr="00C24481" w:rsidR="00AC657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y2GM4D2jqTUZE3" int2:id="bze6LZp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50C"/>
    <w:multiLevelType w:val="hybridMultilevel"/>
    <w:tmpl w:val="CA9437CA"/>
    <w:lvl w:ilvl="0" w:tplc="7E1C6B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A5FC9"/>
    <w:multiLevelType w:val="multilevel"/>
    <w:tmpl w:val="DED65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085DE4"/>
    <w:multiLevelType w:val="hybridMultilevel"/>
    <w:tmpl w:val="5E708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E36691"/>
    <w:multiLevelType w:val="hybridMultilevel"/>
    <w:tmpl w:val="D062BC26"/>
    <w:lvl w:ilvl="0" w:tplc="AD7CFB6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5745F"/>
    <w:multiLevelType w:val="multilevel"/>
    <w:tmpl w:val="68C23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4A43A40"/>
    <w:multiLevelType w:val="hybridMultilevel"/>
    <w:tmpl w:val="D3F265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A574DA5"/>
    <w:multiLevelType w:val="hybridMultilevel"/>
    <w:tmpl w:val="B288B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13B9F"/>
    <w:multiLevelType w:val="hybridMultilevel"/>
    <w:tmpl w:val="10E0E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64843EE"/>
    <w:multiLevelType w:val="hybridMultilevel"/>
    <w:tmpl w:val="A5288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D1049AB"/>
    <w:multiLevelType w:val="hybridMultilevel"/>
    <w:tmpl w:val="C584E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E492A57"/>
    <w:multiLevelType w:val="hybridMultilevel"/>
    <w:tmpl w:val="244259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632ACB"/>
    <w:multiLevelType w:val="hybridMultilevel"/>
    <w:tmpl w:val="AEEE9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5801416"/>
    <w:multiLevelType w:val="hybridMultilevel"/>
    <w:tmpl w:val="A0928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B356A69"/>
    <w:multiLevelType w:val="hybridMultilevel"/>
    <w:tmpl w:val="22AC8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60845464">
    <w:abstractNumId w:val="7"/>
  </w:num>
  <w:num w:numId="2" w16cid:durableId="1003513676">
    <w:abstractNumId w:val="11"/>
  </w:num>
  <w:num w:numId="3" w16cid:durableId="1482382598">
    <w:abstractNumId w:val="10"/>
  </w:num>
  <w:num w:numId="4" w16cid:durableId="606425515">
    <w:abstractNumId w:val="12"/>
  </w:num>
  <w:num w:numId="5" w16cid:durableId="1894347902">
    <w:abstractNumId w:val="13"/>
  </w:num>
  <w:num w:numId="6" w16cid:durableId="1727801843">
    <w:abstractNumId w:val="5"/>
  </w:num>
  <w:num w:numId="7" w16cid:durableId="1068965558">
    <w:abstractNumId w:val="8"/>
  </w:num>
  <w:num w:numId="8" w16cid:durableId="1342006686">
    <w:abstractNumId w:val="9"/>
  </w:num>
  <w:num w:numId="9" w16cid:durableId="1808425958">
    <w:abstractNumId w:val="0"/>
  </w:num>
  <w:num w:numId="10" w16cid:durableId="1913002596">
    <w:abstractNumId w:val="1"/>
  </w:num>
  <w:num w:numId="11" w16cid:durableId="532037986">
    <w:abstractNumId w:val="2"/>
  </w:num>
  <w:num w:numId="12" w16cid:durableId="159006136">
    <w:abstractNumId w:val="4"/>
  </w:num>
  <w:num w:numId="13" w16cid:durableId="1229805068">
    <w:abstractNumId w:val="6"/>
  </w:num>
  <w:num w:numId="14" w16cid:durableId="707023132">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004924"/>
    <w:rsid w:val="00010530"/>
    <w:rsid w:val="0002290A"/>
    <w:rsid w:val="000515F5"/>
    <w:rsid w:val="0008179E"/>
    <w:rsid w:val="00127813"/>
    <w:rsid w:val="001309CA"/>
    <w:rsid w:val="00134E8E"/>
    <w:rsid w:val="00164CFF"/>
    <w:rsid w:val="00182BEB"/>
    <w:rsid w:val="001A718D"/>
    <w:rsid w:val="001C723B"/>
    <w:rsid w:val="001D0D77"/>
    <w:rsid w:val="002061EF"/>
    <w:rsid w:val="00224658"/>
    <w:rsid w:val="00255C77"/>
    <w:rsid w:val="00272FAF"/>
    <w:rsid w:val="00273029"/>
    <w:rsid w:val="00292BBB"/>
    <w:rsid w:val="002A3980"/>
    <w:rsid w:val="002B2117"/>
    <w:rsid w:val="00312A22"/>
    <w:rsid w:val="0033044A"/>
    <w:rsid w:val="00336D61"/>
    <w:rsid w:val="0034661F"/>
    <w:rsid w:val="00355B74"/>
    <w:rsid w:val="00364254"/>
    <w:rsid w:val="00364712"/>
    <w:rsid w:val="00375802"/>
    <w:rsid w:val="00385A96"/>
    <w:rsid w:val="00394ADD"/>
    <w:rsid w:val="00394CE2"/>
    <w:rsid w:val="003A664F"/>
    <w:rsid w:val="003B0AED"/>
    <w:rsid w:val="003B4F4A"/>
    <w:rsid w:val="003C5A88"/>
    <w:rsid w:val="003C5DC4"/>
    <w:rsid w:val="003E177E"/>
    <w:rsid w:val="0040069E"/>
    <w:rsid w:val="0041631F"/>
    <w:rsid w:val="00431254"/>
    <w:rsid w:val="004323AB"/>
    <w:rsid w:val="004336C7"/>
    <w:rsid w:val="00475FF8"/>
    <w:rsid w:val="00476513"/>
    <w:rsid w:val="00490A5A"/>
    <w:rsid w:val="004A0DE9"/>
    <w:rsid w:val="004B30A0"/>
    <w:rsid w:val="004E511F"/>
    <w:rsid w:val="0051603D"/>
    <w:rsid w:val="005A0DF9"/>
    <w:rsid w:val="005A6F60"/>
    <w:rsid w:val="005B6C32"/>
    <w:rsid w:val="005F7C24"/>
    <w:rsid w:val="00616018"/>
    <w:rsid w:val="0061628A"/>
    <w:rsid w:val="00616D3B"/>
    <w:rsid w:val="00666D4D"/>
    <w:rsid w:val="00687AA4"/>
    <w:rsid w:val="006B2B70"/>
    <w:rsid w:val="006B6999"/>
    <w:rsid w:val="006D0E4D"/>
    <w:rsid w:val="00715C8B"/>
    <w:rsid w:val="00741108"/>
    <w:rsid w:val="0076047C"/>
    <w:rsid w:val="0077291E"/>
    <w:rsid w:val="00774FBD"/>
    <w:rsid w:val="007B2D5C"/>
    <w:rsid w:val="007D0A78"/>
    <w:rsid w:val="00800E2D"/>
    <w:rsid w:val="00805F9B"/>
    <w:rsid w:val="00850916"/>
    <w:rsid w:val="00896781"/>
    <w:rsid w:val="008B59AD"/>
    <w:rsid w:val="008B62A9"/>
    <w:rsid w:val="008C1A8B"/>
    <w:rsid w:val="008C623D"/>
    <w:rsid w:val="008E1AD6"/>
    <w:rsid w:val="008E1F9C"/>
    <w:rsid w:val="00925FF0"/>
    <w:rsid w:val="0093738D"/>
    <w:rsid w:val="00950023"/>
    <w:rsid w:val="009631AA"/>
    <w:rsid w:val="009929D3"/>
    <w:rsid w:val="009947D2"/>
    <w:rsid w:val="009B7D83"/>
    <w:rsid w:val="00A00DC2"/>
    <w:rsid w:val="00A05D70"/>
    <w:rsid w:val="00A30A25"/>
    <w:rsid w:val="00A52EB6"/>
    <w:rsid w:val="00A72F34"/>
    <w:rsid w:val="00A81BEE"/>
    <w:rsid w:val="00AB0C14"/>
    <w:rsid w:val="00AC22A7"/>
    <w:rsid w:val="00AC6443"/>
    <w:rsid w:val="00AC6577"/>
    <w:rsid w:val="00AD711E"/>
    <w:rsid w:val="00AE5375"/>
    <w:rsid w:val="00B37E63"/>
    <w:rsid w:val="00B640BD"/>
    <w:rsid w:val="00B839BB"/>
    <w:rsid w:val="00BB4DAD"/>
    <w:rsid w:val="00C24481"/>
    <w:rsid w:val="00C30B25"/>
    <w:rsid w:val="00C3682F"/>
    <w:rsid w:val="00C626FC"/>
    <w:rsid w:val="00C81725"/>
    <w:rsid w:val="00C85FDC"/>
    <w:rsid w:val="00C95344"/>
    <w:rsid w:val="00CC2169"/>
    <w:rsid w:val="00CE478B"/>
    <w:rsid w:val="00D1302B"/>
    <w:rsid w:val="00D767D8"/>
    <w:rsid w:val="00D84591"/>
    <w:rsid w:val="00E46288"/>
    <w:rsid w:val="00E52205"/>
    <w:rsid w:val="00E644AE"/>
    <w:rsid w:val="00EA3157"/>
    <w:rsid w:val="00EB6487"/>
    <w:rsid w:val="00EC31F1"/>
    <w:rsid w:val="00F14405"/>
    <w:rsid w:val="00F65DB5"/>
    <w:rsid w:val="00FC1CAB"/>
    <w:rsid w:val="00FD434A"/>
    <w:rsid w:val="00FE6959"/>
    <w:rsid w:val="01CE2485"/>
    <w:rsid w:val="020BEB54"/>
    <w:rsid w:val="0223FA12"/>
    <w:rsid w:val="0288C50C"/>
    <w:rsid w:val="03AE0B7F"/>
    <w:rsid w:val="0417094F"/>
    <w:rsid w:val="04A72BD7"/>
    <w:rsid w:val="052E7761"/>
    <w:rsid w:val="099DC110"/>
    <w:rsid w:val="0A7D9FB3"/>
    <w:rsid w:val="0A9C8B64"/>
    <w:rsid w:val="0B5BC8F1"/>
    <w:rsid w:val="0CF37E6E"/>
    <w:rsid w:val="0E0F3FB2"/>
    <w:rsid w:val="0E2A90BD"/>
    <w:rsid w:val="0E7A4156"/>
    <w:rsid w:val="11B1E218"/>
    <w:rsid w:val="120E642C"/>
    <w:rsid w:val="125E1E66"/>
    <w:rsid w:val="1337C37D"/>
    <w:rsid w:val="1392ABC9"/>
    <w:rsid w:val="14C5A0D3"/>
    <w:rsid w:val="16AA99C7"/>
    <w:rsid w:val="17AF5186"/>
    <w:rsid w:val="17F164BB"/>
    <w:rsid w:val="188E68F5"/>
    <w:rsid w:val="1A436AAC"/>
    <w:rsid w:val="1AEFEB68"/>
    <w:rsid w:val="1BA05C30"/>
    <w:rsid w:val="1C566D15"/>
    <w:rsid w:val="1C56BE5F"/>
    <w:rsid w:val="1E48758D"/>
    <w:rsid w:val="20EFA0F3"/>
    <w:rsid w:val="20EFA0F3"/>
    <w:rsid w:val="2150F30E"/>
    <w:rsid w:val="231C7F48"/>
    <w:rsid w:val="233EC54C"/>
    <w:rsid w:val="2429081D"/>
    <w:rsid w:val="2448569D"/>
    <w:rsid w:val="25C4D87E"/>
    <w:rsid w:val="25C4D87E"/>
    <w:rsid w:val="285F650D"/>
    <w:rsid w:val="2911E1FC"/>
    <w:rsid w:val="29400CE3"/>
    <w:rsid w:val="29BE1E4A"/>
    <w:rsid w:val="2AE2D036"/>
    <w:rsid w:val="2C4982BE"/>
    <w:rsid w:val="2DE5531F"/>
    <w:rsid w:val="2F13A49E"/>
    <w:rsid w:val="30A4938C"/>
    <w:rsid w:val="31024D83"/>
    <w:rsid w:val="3224BECA"/>
    <w:rsid w:val="32C73D8D"/>
    <w:rsid w:val="35390382"/>
    <w:rsid w:val="361E7479"/>
    <w:rsid w:val="388F6C90"/>
    <w:rsid w:val="3BF49566"/>
    <w:rsid w:val="3EFDB327"/>
    <w:rsid w:val="3F99CDF6"/>
    <w:rsid w:val="402AC0DD"/>
    <w:rsid w:val="405C7924"/>
    <w:rsid w:val="42223199"/>
    <w:rsid w:val="4516779C"/>
    <w:rsid w:val="457A70DC"/>
    <w:rsid w:val="45A59D5E"/>
    <w:rsid w:val="45CB6202"/>
    <w:rsid w:val="45D366AE"/>
    <w:rsid w:val="476DFA13"/>
    <w:rsid w:val="4835D2C2"/>
    <w:rsid w:val="497A9C7C"/>
    <w:rsid w:val="49CD9C86"/>
    <w:rsid w:val="4DAF117B"/>
    <w:rsid w:val="4DB0AF43"/>
    <w:rsid w:val="4FAAA988"/>
    <w:rsid w:val="4FAB4DDB"/>
    <w:rsid w:val="505759E1"/>
    <w:rsid w:val="53217EC2"/>
    <w:rsid w:val="55CD2ED0"/>
    <w:rsid w:val="5741D684"/>
    <w:rsid w:val="5855A97F"/>
    <w:rsid w:val="5B31D84C"/>
    <w:rsid w:val="5BDC8B9B"/>
    <w:rsid w:val="5CB5721C"/>
    <w:rsid w:val="5CCDA8AD"/>
    <w:rsid w:val="61E171FB"/>
    <w:rsid w:val="622F8B8F"/>
    <w:rsid w:val="62CD7368"/>
    <w:rsid w:val="640988AF"/>
    <w:rsid w:val="6510AF27"/>
    <w:rsid w:val="68E5AE45"/>
    <w:rsid w:val="6934B709"/>
    <w:rsid w:val="6AB96775"/>
    <w:rsid w:val="6CA95E98"/>
    <w:rsid w:val="73ECD7BD"/>
    <w:rsid w:val="77F6D445"/>
    <w:rsid w:val="78044B60"/>
    <w:rsid w:val="7C138CB2"/>
    <w:rsid w:val="7D037E41"/>
    <w:rsid w:val="7D16B603"/>
    <w:rsid w:val="7F5AD3E0"/>
    <w:rsid w:val="7FB4E6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79F3"/>
  <w15:chartTrackingRefBased/>
  <w15:docId w15:val="{C5BAC3D5-1272-470A-9988-70BB53405A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69E"/>
    <w:pPr>
      <w:spacing w:after="100" w:afterAutospacing="1" w:line="300" w:lineRule="auto"/>
    </w:pPr>
    <w:rPr>
      <w:rFonts w:ascii="Arial" w:hAnsi="Arial" w:eastAsia="Times New Roman" w:cs="Arial"/>
      <w:sz w:val="24"/>
      <w:szCs w:val="24"/>
    </w:rPr>
  </w:style>
  <w:style w:type="paragraph" w:styleId="Heading1">
    <w:name w:val="heading 1"/>
    <w:basedOn w:val="Normal"/>
    <w:next w:val="BodyText"/>
    <w:link w:val="Heading1Char"/>
    <w:qFormat/>
    <w:rsid w:val="001D0D77"/>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eastAsiaTheme="majorEastAsia" w:cstheme="majorBid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D0D77"/>
    <w:rPr>
      <w:rFonts w:ascii="Arial" w:hAnsi="Arial" w:eastAsia="Times New Roman" w:cs="Times New Roman"/>
      <w:b/>
      <w:bCs/>
      <w:sz w:val="24"/>
      <w:szCs w:val="24"/>
    </w:rPr>
  </w:style>
  <w:style w:type="paragraph" w:styleId="BodyText">
    <w:name w:val="Body Text"/>
    <w:basedOn w:val="Normal"/>
    <w:link w:val="BodyTextChar"/>
    <w:rsid w:val="001D0D77"/>
  </w:style>
  <w:style w:type="character" w:styleId="BodyTextChar" w:customStyle="1">
    <w:name w:val="Body Text Char"/>
    <w:basedOn w:val="DefaultParagraphFont"/>
    <w:link w:val="BodyText"/>
    <w:rsid w:val="001D0D77"/>
    <w:rPr>
      <w:rFonts w:ascii="Verdana" w:hAnsi="Verdana" w:eastAsia="Times New Roman"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styleId="Heading2Char" w:customStyle="1">
    <w:name w:val="Heading 2 Char"/>
    <w:basedOn w:val="DefaultParagraphFont"/>
    <w:link w:val="Heading2"/>
    <w:uiPriority w:val="9"/>
    <w:rsid w:val="001D0D77"/>
    <w:rPr>
      <w:rFonts w:ascii="Arial" w:hAnsi="Arial" w:eastAsiaTheme="majorEastAsia" w:cstheme="majorBidi"/>
      <w:sz w:val="24"/>
      <w:szCs w:val="26"/>
    </w:rPr>
  </w:style>
  <w:style w:type="paragraph" w:styleId="TOC2">
    <w:name w:val="toc 2"/>
    <w:basedOn w:val="Normal"/>
    <w:next w:val="Normal"/>
    <w:autoRedefine/>
    <w:uiPriority w:val="39"/>
    <w:unhideWhenUsed/>
    <w:rsid w:val="001D0D77"/>
    <w:pPr>
      <w:ind w:left="210"/>
    </w:pPr>
  </w:style>
  <w:style w:type="paragraph" w:styleId="NormalWeb">
    <w:name w:val="Normal (Web)"/>
    <w:basedOn w:val="Normal"/>
    <w:uiPriority w:val="99"/>
    <w:semiHidden/>
    <w:unhideWhenUsed/>
    <w:rsid w:val="00127813"/>
    <w:rPr>
      <w:rFonts w:ascii="Times New Roman" w:hAnsi="Times New Roman"/>
    </w:rPr>
  </w:style>
  <w:style w:type="paragraph" w:styleId="BalloonText">
    <w:name w:val="Balloon Text"/>
    <w:basedOn w:val="Normal"/>
    <w:link w:val="BalloonTextChar"/>
    <w:uiPriority w:val="99"/>
    <w:semiHidden/>
    <w:unhideWhenUsed/>
    <w:rsid w:val="00A05D7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5D70"/>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4323AB"/>
    <w:rPr>
      <w:sz w:val="16"/>
      <w:szCs w:val="16"/>
    </w:rPr>
  </w:style>
  <w:style w:type="paragraph" w:styleId="CommentText">
    <w:name w:val="annotation text"/>
    <w:basedOn w:val="Normal"/>
    <w:link w:val="CommentTextChar"/>
    <w:uiPriority w:val="99"/>
    <w:semiHidden/>
    <w:unhideWhenUsed/>
    <w:rsid w:val="004323AB"/>
    <w:pPr>
      <w:spacing w:line="240" w:lineRule="auto"/>
    </w:pPr>
    <w:rPr>
      <w:sz w:val="20"/>
      <w:szCs w:val="20"/>
    </w:rPr>
  </w:style>
  <w:style w:type="character" w:styleId="CommentTextChar" w:customStyle="1">
    <w:name w:val="Comment Text Char"/>
    <w:basedOn w:val="DefaultParagraphFont"/>
    <w:link w:val="CommentText"/>
    <w:uiPriority w:val="99"/>
    <w:semiHidden/>
    <w:rsid w:val="004323AB"/>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4323AB"/>
    <w:rPr>
      <w:b/>
      <w:bCs/>
    </w:rPr>
  </w:style>
  <w:style w:type="character" w:styleId="CommentSubjectChar" w:customStyle="1">
    <w:name w:val="Comment Subject Char"/>
    <w:basedOn w:val="CommentTextChar"/>
    <w:link w:val="CommentSubject"/>
    <w:uiPriority w:val="99"/>
    <w:semiHidden/>
    <w:rsid w:val="004323AB"/>
    <w:rPr>
      <w:rFonts w:ascii="Arial" w:hAnsi="Arial" w:eastAsia="Times New Roman" w:cs="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B62A9"/>
    <w:pPr>
      <w:spacing w:after="0" w:line="240" w:lineRule="auto"/>
    </w:pPr>
    <w:rPr>
      <w:rFonts w:ascii="Arial" w:hAnsi="Arial" w:eastAsia="Times New Roman" w:cs="Arial"/>
      <w:sz w:val="24"/>
      <w:szCs w:val="24"/>
    </w:rPr>
  </w:style>
  <w:style w:type="character" w:styleId="normaltextrun" w:customStyle="1">
    <w:name w:val="normaltextrun"/>
    <w:basedOn w:val="DefaultParagraphFont"/>
    <w:rsid w:val="008B62A9"/>
  </w:style>
  <w:style w:type="character" w:styleId="eop" w:customStyle="1">
    <w:name w:val="eop"/>
    <w:basedOn w:val="DefaultParagraphFont"/>
    <w:rsid w:val="008B62A9"/>
  </w:style>
  <w:style w:type="paragraph" w:styleId="paragraph" w:customStyle="1">
    <w:name w:val="paragraph"/>
    <w:basedOn w:val="Normal"/>
    <w:rsid w:val="008C623D"/>
    <w:pPr>
      <w:spacing w:before="100" w:beforeAutospacing="1"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CC2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812">
      <w:bodyDiv w:val="1"/>
      <w:marLeft w:val="0"/>
      <w:marRight w:val="0"/>
      <w:marTop w:val="0"/>
      <w:marBottom w:val="0"/>
      <w:divBdr>
        <w:top w:val="none" w:sz="0" w:space="0" w:color="auto"/>
        <w:left w:val="none" w:sz="0" w:space="0" w:color="auto"/>
        <w:bottom w:val="none" w:sz="0" w:space="0" w:color="auto"/>
        <w:right w:val="none" w:sz="0" w:space="0" w:color="auto"/>
      </w:divBdr>
    </w:div>
    <w:div w:id="703484263">
      <w:bodyDiv w:val="1"/>
      <w:marLeft w:val="0"/>
      <w:marRight w:val="0"/>
      <w:marTop w:val="0"/>
      <w:marBottom w:val="0"/>
      <w:divBdr>
        <w:top w:val="none" w:sz="0" w:space="0" w:color="auto"/>
        <w:left w:val="none" w:sz="0" w:space="0" w:color="auto"/>
        <w:bottom w:val="none" w:sz="0" w:space="0" w:color="auto"/>
        <w:right w:val="none" w:sz="0" w:space="0" w:color="auto"/>
      </w:divBdr>
    </w:div>
    <w:div w:id="802115853">
      <w:bodyDiv w:val="1"/>
      <w:marLeft w:val="0"/>
      <w:marRight w:val="0"/>
      <w:marTop w:val="0"/>
      <w:marBottom w:val="0"/>
      <w:divBdr>
        <w:top w:val="none" w:sz="0" w:space="0" w:color="auto"/>
        <w:left w:val="none" w:sz="0" w:space="0" w:color="auto"/>
        <w:bottom w:val="none" w:sz="0" w:space="0" w:color="auto"/>
        <w:right w:val="none" w:sz="0" w:space="0" w:color="auto"/>
      </w:divBdr>
      <w:divsChild>
        <w:div w:id="2011325259">
          <w:marLeft w:val="0"/>
          <w:marRight w:val="0"/>
          <w:marTop w:val="0"/>
          <w:marBottom w:val="0"/>
          <w:divBdr>
            <w:top w:val="none" w:sz="0" w:space="0" w:color="auto"/>
            <w:left w:val="none" w:sz="0" w:space="0" w:color="auto"/>
            <w:bottom w:val="none" w:sz="0" w:space="0" w:color="auto"/>
            <w:right w:val="none" w:sz="0" w:space="0" w:color="auto"/>
          </w:divBdr>
        </w:div>
        <w:div w:id="1577783989">
          <w:marLeft w:val="0"/>
          <w:marRight w:val="0"/>
          <w:marTop w:val="0"/>
          <w:marBottom w:val="0"/>
          <w:divBdr>
            <w:top w:val="none" w:sz="0" w:space="0" w:color="auto"/>
            <w:left w:val="none" w:sz="0" w:space="0" w:color="auto"/>
            <w:bottom w:val="none" w:sz="0" w:space="0" w:color="auto"/>
            <w:right w:val="none" w:sz="0" w:space="0" w:color="auto"/>
          </w:divBdr>
        </w:div>
        <w:div w:id="1164779216">
          <w:marLeft w:val="0"/>
          <w:marRight w:val="0"/>
          <w:marTop w:val="0"/>
          <w:marBottom w:val="0"/>
          <w:divBdr>
            <w:top w:val="none" w:sz="0" w:space="0" w:color="auto"/>
            <w:left w:val="none" w:sz="0" w:space="0" w:color="auto"/>
            <w:bottom w:val="none" w:sz="0" w:space="0" w:color="auto"/>
            <w:right w:val="none" w:sz="0" w:space="0" w:color="auto"/>
          </w:divBdr>
        </w:div>
        <w:div w:id="502353837">
          <w:marLeft w:val="0"/>
          <w:marRight w:val="0"/>
          <w:marTop w:val="0"/>
          <w:marBottom w:val="0"/>
          <w:divBdr>
            <w:top w:val="none" w:sz="0" w:space="0" w:color="auto"/>
            <w:left w:val="none" w:sz="0" w:space="0" w:color="auto"/>
            <w:bottom w:val="none" w:sz="0" w:space="0" w:color="auto"/>
            <w:right w:val="none" w:sz="0" w:space="0" w:color="auto"/>
          </w:divBdr>
        </w:div>
        <w:div w:id="1192768908">
          <w:marLeft w:val="0"/>
          <w:marRight w:val="0"/>
          <w:marTop w:val="0"/>
          <w:marBottom w:val="0"/>
          <w:divBdr>
            <w:top w:val="none" w:sz="0" w:space="0" w:color="auto"/>
            <w:left w:val="none" w:sz="0" w:space="0" w:color="auto"/>
            <w:bottom w:val="none" w:sz="0" w:space="0" w:color="auto"/>
            <w:right w:val="none" w:sz="0" w:space="0" w:color="auto"/>
          </w:divBdr>
        </w:div>
        <w:div w:id="1355766680">
          <w:marLeft w:val="0"/>
          <w:marRight w:val="0"/>
          <w:marTop w:val="0"/>
          <w:marBottom w:val="0"/>
          <w:divBdr>
            <w:top w:val="none" w:sz="0" w:space="0" w:color="auto"/>
            <w:left w:val="none" w:sz="0" w:space="0" w:color="auto"/>
            <w:bottom w:val="none" w:sz="0" w:space="0" w:color="auto"/>
            <w:right w:val="none" w:sz="0" w:space="0" w:color="auto"/>
          </w:divBdr>
        </w:div>
        <w:div w:id="182401284">
          <w:marLeft w:val="0"/>
          <w:marRight w:val="0"/>
          <w:marTop w:val="0"/>
          <w:marBottom w:val="0"/>
          <w:divBdr>
            <w:top w:val="none" w:sz="0" w:space="0" w:color="auto"/>
            <w:left w:val="none" w:sz="0" w:space="0" w:color="auto"/>
            <w:bottom w:val="none" w:sz="0" w:space="0" w:color="auto"/>
            <w:right w:val="none" w:sz="0" w:space="0" w:color="auto"/>
          </w:divBdr>
        </w:div>
        <w:div w:id="2044670460">
          <w:marLeft w:val="0"/>
          <w:marRight w:val="0"/>
          <w:marTop w:val="0"/>
          <w:marBottom w:val="0"/>
          <w:divBdr>
            <w:top w:val="none" w:sz="0" w:space="0" w:color="auto"/>
            <w:left w:val="none" w:sz="0" w:space="0" w:color="auto"/>
            <w:bottom w:val="none" w:sz="0" w:space="0" w:color="auto"/>
            <w:right w:val="none" w:sz="0" w:space="0" w:color="auto"/>
          </w:divBdr>
        </w:div>
        <w:div w:id="552232926">
          <w:marLeft w:val="0"/>
          <w:marRight w:val="0"/>
          <w:marTop w:val="0"/>
          <w:marBottom w:val="0"/>
          <w:divBdr>
            <w:top w:val="none" w:sz="0" w:space="0" w:color="auto"/>
            <w:left w:val="none" w:sz="0" w:space="0" w:color="auto"/>
            <w:bottom w:val="none" w:sz="0" w:space="0" w:color="auto"/>
            <w:right w:val="none" w:sz="0" w:space="0" w:color="auto"/>
          </w:divBdr>
        </w:div>
        <w:div w:id="1226795439">
          <w:marLeft w:val="0"/>
          <w:marRight w:val="0"/>
          <w:marTop w:val="0"/>
          <w:marBottom w:val="0"/>
          <w:divBdr>
            <w:top w:val="none" w:sz="0" w:space="0" w:color="auto"/>
            <w:left w:val="none" w:sz="0" w:space="0" w:color="auto"/>
            <w:bottom w:val="none" w:sz="0" w:space="0" w:color="auto"/>
            <w:right w:val="none" w:sz="0" w:space="0" w:color="auto"/>
          </w:divBdr>
        </w:div>
        <w:div w:id="2058890696">
          <w:marLeft w:val="0"/>
          <w:marRight w:val="0"/>
          <w:marTop w:val="0"/>
          <w:marBottom w:val="0"/>
          <w:divBdr>
            <w:top w:val="none" w:sz="0" w:space="0" w:color="auto"/>
            <w:left w:val="none" w:sz="0" w:space="0" w:color="auto"/>
            <w:bottom w:val="none" w:sz="0" w:space="0" w:color="auto"/>
            <w:right w:val="none" w:sz="0" w:space="0" w:color="auto"/>
          </w:divBdr>
        </w:div>
        <w:div w:id="1675566694">
          <w:marLeft w:val="0"/>
          <w:marRight w:val="0"/>
          <w:marTop w:val="0"/>
          <w:marBottom w:val="0"/>
          <w:divBdr>
            <w:top w:val="none" w:sz="0" w:space="0" w:color="auto"/>
            <w:left w:val="none" w:sz="0" w:space="0" w:color="auto"/>
            <w:bottom w:val="none" w:sz="0" w:space="0" w:color="auto"/>
            <w:right w:val="none" w:sz="0" w:space="0" w:color="auto"/>
          </w:divBdr>
        </w:div>
      </w:divsChild>
    </w:div>
    <w:div w:id="865213174">
      <w:bodyDiv w:val="1"/>
      <w:marLeft w:val="0"/>
      <w:marRight w:val="0"/>
      <w:marTop w:val="0"/>
      <w:marBottom w:val="0"/>
      <w:divBdr>
        <w:top w:val="none" w:sz="0" w:space="0" w:color="auto"/>
        <w:left w:val="none" w:sz="0" w:space="0" w:color="auto"/>
        <w:bottom w:val="none" w:sz="0" w:space="0" w:color="auto"/>
        <w:right w:val="none" w:sz="0" w:space="0" w:color="auto"/>
      </w:divBdr>
      <w:divsChild>
        <w:div w:id="703596636">
          <w:marLeft w:val="0"/>
          <w:marRight w:val="0"/>
          <w:marTop w:val="0"/>
          <w:marBottom w:val="0"/>
          <w:divBdr>
            <w:top w:val="none" w:sz="0" w:space="0" w:color="auto"/>
            <w:left w:val="none" w:sz="0" w:space="0" w:color="auto"/>
            <w:bottom w:val="none" w:sz="0" w:space="0" w:color="auto"/>
            <w:right w:val="none" w:sz="0" w:space="0" w:color="auto"/>
          </w:divBdr>
        </w:div>
        <w:div w:id="1003245314">
          <w:marLeft w:val="0"/>
          <w:marRight w:val="0"/>
          <w:marTop w:val="0"/>
          <w:marBottom w:val="0"/>
          <w:divBdr>
            <w:top w:val="none" w:sz="0" w:space="0" w:color="auto"/>
            <w:left w:val="none" w:sz="0" w:space="0" w:color="auto"/>
            <w:bottom w:val="none" w:sz="0" w:space="0" w:color="auto"/>
            <w:right w:val="none" w:sz="0" w:space="0" w:color="auto"/>
          </w:divBdr>
        </w:div>
        <w:div w:id="593514390">
          <w:marLeft w:val="0"/>
          <w:marRight w:val="0"/>
          <w:marTop w:val="0"/>
          <w:marBottom w:val="0"/>
          <w:divBdr>
            <w:top w:val="none" w:sz="0" w:space="0" w:color="auto"/>
            <w:left w:val="none" w:sz="0" w:space="0" w:color="auto"/>
            <w:bottom w:val="none" w:sz="0" w:space="0" w:color="auto"/>
            <w:right w:val="none" w:sz="0" w:space="0" w:color="auto"/>
          </w:divBdr>
        </w:div>
        <w:div w:id="1135105368">
          <w:marLeft w:val="0"/>
          <w:marRight w:val="0"/>
          <w:marTop w:val="0"/>
          <w:marBottom w:val="0"/>
          <w:divBdr>
            <w:top w:val="none" w:sz="0" w:space="0" w:color="auto"/>
            <w:left w:val="none" w:sz="0" w:space="0" w:color="auto"/>
            <w:bottom w:val="none" w:sz="0" w:space="0" w:color="auto"/>
            <w:right w:val="none" w:sz="0" w:space="0" w:color="auto"/>
          </w:divBdr>
        </w:div>
        <w:div w:id="1071004848">
          <w:marLeft w:val="0"/>
          <w:marRight w:val="0"/>
          <w:marTop w:val="0"/>
          <w:marBottom w:val="0"/>
          <w:divBdr>
            <w:top w:val="none" w:sz="0" w:space="0" w:color="auto"/>
            <w:left w:val="none" w:sz="0" w:space="0" w:color="auto"/>
            <w:bottom w:val="none" w:sz="0" w:space="0" w:color="auto"/>
            <w:right w:val="none" w:sz="0" w:space="0" w:color="auto"/>
          </w:divBdr>
        </w:div>
      </w:divsChild>
    </w:div>
    <w:div w:id="884949519">
      <w:bodyDiv w:val="1"/>
      <w:marLeft w:val="0"/>
      <w:marRight w:val="0"/>
      <w:marTop w:val="0"/>
      <w:marBottom w:val="0"/>
      <w:divBdr>
        <w:top w:val="none" w:sz="0" w:space="0" w:color="auto"/>
        <w:left w:val="none" w:sz="0" w:space="0" w:color="auto"/>
        <w:bottom w:val="none" w:sz="0" w:space="0" w:color="auto"/>
        <w:right w:val="none" w:sz="0" w:space="0" w:color="auto"/>
      </w:divBdr>
    </w:div>
    <w:div w:id="18907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microsoft.com/office/2011/relationships/people" Target="people.xml" Id="R0f67a1004c3c4322" /><Relationship Type="http://schemas.microsoft.com/office/2011/relationships/commentsExtended" Target="commentsExtended.xml" Id="R2fd4f4ec56d846df" /><Relationship Type="http://schemas.microsoft.com/office/2016/09/relationships/commentsIds" Target="commentsIds.xml" Id="R0ab35c4baf894756" /><Relationship Type="http://schemas.microsoft.com/office/2020/10/relationships/intelligence" Target="intelligence2.xml" Id="R0e6bd36d1a6245b0" /><Relationship Type="http://schemas.openxmlformats.org/officeDocument/2006/relationships/hyperlink" Target="http://www.acas.org.uk/index.aspx?articleid=1616" TargetMode="External" Id="Rc6ad512a93854f76" /><Relationship Type="http://schemas.openxmlformats.org/officeDocument/2006/relationships/hyperlink" Target="https://www.acas.org.uk/flexible-working" TargetMode="External" Id="Rede0e5832f084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e002713-cdad-4d1d-967c-86e69fbc62ee">
      <UserInfo>
        <DisplayName>Steffan Griffith</DisplayName>
        <AccountId>25</AccountId>
        <AccountType/>
      </UserInfo>
      <UserInfo>
        <DisplayName>Louise Shipton</DisplayName>
        <AccountId>12</AccountId>
        <AccountType/>
      </UserInfo>
      <UserInfo>
        <DisplayName>Jade Luke</DisplayName>
        <AccountId>17</AccountId>
        <AccountType/>
      </UserInfo>
      <UserInfo>
        <DisplayName>Catherine Hughes</DisplayName>
        <AccountId>18</AccountId>
        <AccountType/>
      </UserInfo>
      <UserInfo>
        <DisplayName>Gareth Owen</DisplayName>
        <AccountId>55</AccountId>
        <AccountType/>
      </UserInfo>
      <UserInfo>
        <DisplayName>Nia Blackwell</DisplayName>
        <AccountId>26</AccountId>
        <AccountType/>
      </UserInfo>
      <UserInfo>
        <DisplayName>Tracy Hibbert</DisplayName>
        <AccountId>20</AccountId>
        <AccountType/>
      </UserInfo>
    </SharedWithUsers>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2DC7B-81B5-4CB3-9B05-B98CCED8F9CA}">
  <ds:schemaRefs>
    <ds:schemaRef ds:uri="http://schemas.microsoft.com/sharepoint/v3/contenttype/forms"/>
  </ds:schemaRefs>
</ds:datastoreItem>
</file>

<file path=customXml/itemProps2.xml><?xml version="1.0" encoding="utf-8"?>
<ds:datastoreItem xmlns:ds="http://schemas.openxmlformats.org/officeDocument/2006/customXml" ds:itemID="{CF4AA83C-0B80-473B-8097-A27B682E23B6}">
  <ds:schemaRefs>
    <ds:schemaRef ds:uri="http://schemas.openxmlformats.org/officeDocument/2006/bibliography"/>
  </ds:schemaRefs>
</ds:datastoreItem>
</file>

<file path=customXml/itemProps3.xml><?xml version="1.0" encoding="utf-8"?>
<ds:datastoreItem xmlns:ds="http://schemas.openxmlformats.org/officeDocument/2006/customXml" ds:itemID="{DE7F8BCD-1BC3-4990-B16C-06CA86D63B54}">
  <ds:schemaRefs>
    <ds:schemaRef ds:uri="http://purl.org/dc/elements/1.1/"/>
    <ds:schemaRef ds:uri="f4ca094e-e3ed-44b2-8be1-04578b8f4789"/>
    <ds:schemaRef ds:uri="fe002713-cdad-4d1d-967c-86e69fbc62e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787EDDF-9EED-4AC8-8704-F647BF58C6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Jones (Staff)</cp:lastModifiedBy>
  <cp:revision>11</cp:revision>
  <dcterms:created xsi:type="dcterms:W3CDTF">2023-09-28T12:05:00Z</dcterms:created>
  <dcterms:modified xsi:type="dcterms:W3CDTF">2025-06-17T19:30:45Z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